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B4" w:rsidRDefault="003B3BB1" w:rsidP="003E2086">
      <w:pPr>
        <w:spacing w:line="360" w:lineRule="auto"/>
        <w:jc w:val="center"/>
        <w:rPr>
          <w:b/>
          <w:sz w:val="32"/>
          <w:szCs w:val="32"/>
        </w:rPr>
      </w:pPr>
      <w:r>
        <w:rPr>
          <w:b/>
          <w:sz w:val="36"/>
          <w:szCs w:val="36"/>
        </w:rPr>
        <w:t>CHAPTER 01</w:t>
      </w:r>
    </w:p>
    <w:p w:rsidR="00AE5C02" w:rsidRPr="008873CC" w:rsidRDefault="00BF3231" w:rsidP="003E2086">
      <w:pPr>
        <w:spacing w:line="360" w:lineRule="auto"/>
        <w:rPr>
          <w:b/>
          <w:sz w:val="32"/>
          <w:szCs w:val="32"/>
        </w:rPr>
      </w:pPr>
      <w:r w:rsidRPr="008873CC">
        <w:rPr>
          <w:b/>
          <w:sz w:val="32"/>
          <w:szCs w:val="32"/>
        </w:rPr>
        <w:t>Introduction</w:t>
      </w:r>
      <w:r w:rsidR="00AE5C02" w:rsidRPr="008873CC">
        <w:rPr>
          <w:b/>
          <w:sz w:val="32"/>
          <w:szCs w:val="32"/>
        </w:rPr>
        <w:t>:</w:t>
      </w:r>
    </w:p>
    <w:p w:rsidR="00AE5C02" w:rsidRDefault="00AE5C02" w:rsidP="003E2086">
      <w:pPr>
        <w:spacing w:before="100" w:beforeAutospacing="1" w:after="100" w:afterAutospacing="1" w:line="360" w:lineRule="auto"/>
        <w:jc w:val="both"/>
      </w:pPr>
      <w:r w:rsidRPr="00D525F6">
        <w:t>In today’s modern era making investments in common stocks is the most important but at the same time the most difficult, uncertain, complex</w:t>
      </w:r>
      <w:r>
        <w:t xml:space="preserve"> and </w:t>
      </w:r>
      <w:r w:rsidRPr="00D525F6">
        <w:t>daunting undertaking companies and individual investors u</w:t>
      </w:r>
      <w:r>
        <w:t>n</w:t>
      </w:r>
      <w:r w:rsidR="00193C04">
        <w:t xml:space="preserve">dergo. A </w:t>
      </w:r>
      <w:r w:rsidR="00193C04" w:rsidRPr="00D525F6">
        <w:t>proper</w:t>
      </w:r>
      <w:r w:rsidRPr="00D525F6">
        <w:t xml:space="preserve"> and sophisticated analysis (Technical, Fundamental or both) is very much necessary to check out in which stocks to invest and in which not to invest?</w:t>
      </w:r>
      <w:r w:rsidR="00DB6457">
        <w:t xml:space="preserve"> Initial selection must be mad</w:t>
      </w:r>
      <w:r w:rsidR="009F5F2E">
        <w:t>e before investing in the stock</w:t>
      </w:r>
      <w:r w:rsidR="00DB6457">
        <w:t xml:space="preserve"> of a</w:t>
      </w:r>
      <w:r w:rsidR="007D3127">
        <w:t>ny</w:t>
      </w:r>
      <w:r w:rsidR="00DB6457">
        <w:t xml:space="preserve"> company.</w:t>
      </w:r>
      <w:r w:rsidRPr="00D525F6">
        <w:t xml:space="preserve"> It would be ridiculous to </w:t>
      </w:r>
      <w:r w:rsidR="001F0F8E">
        <w:t xml:space="preserve">blindly invest in any </w:t>
      </w:r>
      <w:r w:rsidR="00DB6457">
        <w:t>company</w:t>
      </w:r>
      <w:r w:rsidRPr="00D525F6">
        <w:t>‘</w:t>
      </w:r>
      <w:r w:rsidR="00DB6457">
        <w:t>s</w:t>
      </w:r>
      <w:r w:rsidRPr="00D525F6">
        <w:t xml:space="preserve"> stocks of N</w:t>
      </w:r>
      <w:r>
        <w:t xml:space="preserve">ew </w:t>
      </w:r>
      <w:r w:rsidRPr="00D525F6">
        <w:t>Y</w:t>
      </w:r>
      <w:r>
        <w:t xml:space="preserve">ork </w:t>
      </w:r>
      <w:r w:rsidRPr="00D525F6">
        <w:t>S</w:t>
      </w:r>
      <w:r>
        <w:t xml:space="preserve">tock </w:t>
      </w:r>
      <w:r w:rsidR="009441FB" w:rsidRPr="00D525F6">
        <w:t>E</w:t>
      </w:r>
      <w:r w:rsidR="009441FB">
        <w:t>xchange (</w:t>
      </w:r>
      <w:r w:rsidR="001F0F8E">
        <w:t>NYSE)</w:t>
      </w:r>
      <w:r w:rsidRPr="00D525F6">
        <w:t>, K</w:t>
      </w:r>
      <w:r>
        <w:t>arachi</w:t>
      </w:r>
      <w:r w:rsidRPr="00872838">
        <w:t xml:space="preserve"> </w:t>
      </w:r>
      <w:r w:rsidRPr="00D525F6">
        <w:t>S</w:t>
      </w:r>
      <w:r>
        <w:t xml:space="preserve">tock </w:t>
      </w:r>
      <w:r w:rsidRPr="00D525F6">
        <w:t>E</w:t>
      </w:r>
      <w:r>
        <w:t>xchange</w:t>
      </w:r>
      <w:r w:rsidR="00E24788">
        <w:t xml:space="preserve"> (KSE)</w:t>
      </w:r>
      <w:r>
        <w:t>,</w:t>
      </w:r>
      <w:r w:rsidRPr="00D525F6">
        <w:t xml:space="preserve"> NIKKAI or any other stock market of the world</w:t>
      </w:r>
      <w:r w:rsidR="000C6567">
        <w:t xml:space="preserve">. </w:t>
      </w:r>
      <w:r w:rsidR="00AF1892">
        <w:t>Investment</w:t>
      </w:r>
      <w:r w:rsidR="00AF1892" w:rsidRPr="00D525F6">
        <w:t xml:space="preserve"> in common stocks is not</w:t>
      </w:r>
      <w:r w:rsidR="00AF1892">
        <w:t xml:space="preserve"> to be </w:t>
      </w:r>
      <w:r w:rsidR="00AF1892" w:rsidRPr="00D525F6">
        <w:t>a</w:t>
      </w:r>
      <w:r w:rsidR="00AF1892">
        <w:t xml:space="preserve"> taken a </w:t>
      </w:r>
      <w:r w:rsidR="00AF1892" w:rsidRPr="00D525F6">
        <w:t xml:space="preserve">blind folded game </w:t>
      </w:r>
      <w:r w:rsidR="00AF1892">
        <w:t>because a high level of risk is always waiting for investors of the</w:t>
      </w:r>
      <w:r w:rsidR="00AF1892" w:rsidRPr="00AF1892">
        <w:t xml:space="preserve"> </w:t>
      </w:r>
      <w:r w:rsidR="00AF1892">
        <w:t xml:space="preserve">stock market.  </w:t>
      </w:r>
      <w:r w:rsidR="000C6567">
        <w:t xml:space="preserve">Therefore </w:t>
      </w:r>
      <w:r w:rsidR="000716CE">
        <w:t>initial screening</w:t>
      </w:r>
      <w:r w:rsidR="00C21600">
        <w:t xml:space="preserve"> must be done before making a </w:t>
      </w:r>
      <w:r w:rsidR="005E2AAB">
        <w:t>portfolio.</w:t>
      </w:r>
      <w:r w:rsidR="00914188">
        <w:t xml:space="preserve"> </w:t>
      </w:r>
      <w:r w:rsidR="002D4EC4" w:rsidRPr="00D525F6">
        <w:t>Investors</w:t>
      </w:r>
      <w:r w:rsidRPr="00D525F6">
        <w:t xml:space="preserve"> whether individuals or institutional search for the comp</w:t>
      </w:r>
      <w:r w:rsidR="002D4EC4">
        <w:t>anies with proven track records and not simply believe in the analyst recommendation</w:t>
      </w:r>
      <w:r>
        <w:t xml:space="preserve"> </w:t>
      </w:r>
      <w:r w:rsidR="00A353D2">
        <w:t>because</w:t>
      </w:r>
      <w:r w:rsidR="00BF00C7">
        <w:t xml:space="preserve"> </w:t>
      </w:r>
      <w:r>
        <w:t>the recommend</w:t>
      </w:r>
      <w:r w:rsidR="00A353D2">
        <w:t>ed stocks by the analysts under</w:t>
      </w:r>
      <w:r>
        <w:t>performed</w:t>
      </w:r>
      <w:r w:rsidR="00BF00C7">
        <w:t xml:space="preserve"> in 2000 and 2001.</w:t>
      </w:r>
    </w:p>
    <w:p w:rsidR="00381B12" w:rsidRDefault="00381B12" w:rsidP="003E2086">
      <w:pPr>
        <w:spacing w:before="100" w:beforeAutospacing="1" w:after="100" w:afterAutospacing="1" w:line="360" w:lineRule="auto"/>
        <w:jc w:val="both"/>
      </w:pPr>
      <w:r>
        <w:t xml:space="preserve">Unfortunately in our country most of </w:t>
      </w:r>
      <w:r w:rsidRPr="00031AF6">
        <w:t xml:space="preserve">the investors think that </w:t>
      </w:r>
      <w:r w:rsidR="00AB5244" w:rsidRPr="00031AF6">
        <w:t>profit making from stock market is a matter of luck and they blindly invest in stocks without knowing the basic technica</w:t>
      </w:r>
      <w:r w:rsidR="0042695C">
        <w:t xml:space="preserve">lities of investment </w:t>
      </w:r>
      <w:r w:rsidR="0042695C" w:rsidRPr="00031AF6">
        <w:t xml:space="preserve">as </w:t>
      </w:r>
      <w:r w:rsidR="00D053A9" w:rsidRPr="00031AF6">
        <w:t>a result</w:t>
      </w:r>
      <w:r w:rsidR="00166D46" w:rsidRPr="00031AF6">
        <w:t xml:space="preserve"> they suffer huge capital losses and many of them retire from the field of investment once and forever</w:t>
      </w:r>
      <w:r w:rsidR="00A62EF8">
        <w:t>. This phenomenon</w:t>
      </w:r>
      <w:r w:rsidR="00EF741D" w:rsidRPr="00031AF6">
        <w:t xml:space="preserve"> negatively</w:t>
      </w:r>
      <w:r w:rsidR="00EF741D">
        <w:t xml:space="preserve"> </w:t>
      </w:r>
      <w:r w:rsidR="00E35851">
        <w:t>affects</w:t>
      </w:r>
      <w:r w:rsidR="00EF741D">
        <w:t xml:space="preserve"> the economic activity in the </w:t>
      </w:r>
      <w:r w:rsidR="002D4277">
        <w:t>country</w:t>
      </w:r>
      <w:r w:rsidR="00EF741D">
        <w:t>.</w:t>
      </w:r>
    </w:p>
    <w:p w:rsidR="00732E74" w:rsidRDefault="00732E74" w:rsidP="003E2086">
      <w:pPr>
        <w:spacing w:before="100" w:beforeAutospacing="1" w:after="100" w:afterAutospacing="1" w:line="360" w:lineRule="auto"/>
        <w:jc w:val="both"/>
      </w:pPr>
      <w:r>
        <w:t>The knowledge of winning momentum of the</w:t>
      </w:r>
      <w:r w:rsidR="002511A1">
        <w:t xml:space="preserve"> past</w:t>
      </w:r>
      <w:r>
        <w:t xml:space="preserve"> winners and losing momentum of the</w:t>
      </w:r>
      <w:r w:rsidR="002511A1">
        <w:t xml:space="preserve"> past</w:t>
      </w:r>
      <w:r>
        <w:t xml:space="preserve"> losers is considered to be really important for the investors</w:t>
      </w:r>
      <w:r w:rsidR="00590F69">
        <w:t>. This knowledge can help investors to make good selection and as a result good rewards.</w:t>
      </w:r>
    </w:p>
    <w:p w:rsidR="00984537" w:rsidRDefault="00984537" w:rsidP="003E2086">
      <w:pPr>
        <w:spacing w:before="100" w:beforeAutospacing="1" w:after="100" w:afterAutospacing="1" w:line="360" w:lineRule="auto"/>
        <w:jc w:val="both"/>
      </w:pPr>
      <w:r>
        <w:t>This research study would try to analyze the consistency in the performance (</w:t>
      </w:r>
      <w:r w:rsidR="00B411FE">
        <w:t>Stock Market Returns ROA</w:t>
      </w:r>
      <w:r w:rsidR="00B411FE" w:rsidRPr="00B411FE">
        <w:t xml:space="preserve"> </w:t>
      </w:r>
      <w:r w:rsidR="00B411FE">
        <w:t>and</w:t>
      </w:r>
      <w:r>
        <w:t xml:space="preserve"> ROE) of different </w:t>
      </w:r>
      <w:r w:rsidR="00004093">
        <w:t xml:space="preserve">72 </w:t>
      </w:r>
      <w:r>
        <w:t xml:space="preserve">KSE based </w:t>
      </w:r>
      <w:r w:rsidR="001B162D">
        <w:t>companies and would provide valuable insights to the investors for making their decisions</w:t>
      </w:r>
      <w:r w:rsidR="006063A0">
        <w:t>.</w:t>
      </w:r>
      <w:r>
        <w:t xml:space="preserve"> </w:t>
      </w:r>
    </w:p>
    <w:p w:rsidR="00590F69" w:rsidRDefault="00590F69" w:rsidP="003E2086">
      <w:pPr>
        <w:spacing w:before="100" w:beforeAutospacing="1" w:after="100" w:afterAutospacing="1" w:line="360" w:lineRule="auto"/>
        <w:rPr>
          <w:b/>
          <w:sz w:val="32"/>
          <w:szCs w:val="32"/>
        </w:rPr>
      </w:pPr>
    </w:p>
    <w:p w:rsidR="00767762" w:rsidRDefault="00767762" w:rsidP="003E2086">
      <w:pPr>
        <w:spacing w:before="100" w:beforeAutospacing="1" w:after="100" w:afterAutospacing="1" w:line="360" w:lineRule="auto"/>
        <w:rPr>
          <w:b/>
          <w:sz w:val="32"/>
          <w:szCs w:val="32"/>
        </w:rPr>
      </w:pPr>
    </w:p>
    <w:p w:rsidR="003B3BB1" w:rsidRDefault="003B3BB1" w:rsidP="003E2086">
      <w:pPr>
        <w:spacing w:before="100" w:beforeAutospacing="1" w:after="100" w:afterAutospacing="1" w:line="360" w:lineRule="auto"/>
        <w:rPr>
          <w:b/>
          <w:sz w:val="32"/>
          <w:szCs w:val="32"/>
        </w:rPr>
      </w:pPr>
      <w:r w:rsidRPr="003B3BB1">
        <w:rPr>
          <w:b/>
          <w:sz w:val="32"/>
          <w:szCs w:val="32"/>
        </w:rPr>
        <w:t>Overview of Management approaches in the field of investment</w:t>
      </w:r>
    </w:p>
    <w:p w:rsidR="00807050" w:rsidRDefault="00807050" w:rsidP="003E2086">
      <w:pPr>
        <w:spacing w:before="100" w:beforeAutospacing="1" w:after="100" w:afterAutospacing="1" w:line="360" w:lineRule="auto"/>
      </w:pPr>
      <w:r w:rsidRPr="00D525F6">
        <w:t>To make a well diversified portfolio</w:t>
      </w:r>
      <w:r w:rsidR="00095BD1">
        <w:t>,</w:t>
      </w:r>
      <w:r w:rsidRPr="00D525F6">
        <w:t xml:space="preserve"> investors use different strategies and consider many factors among them the most important is the belief of investors about market efficiency (Efficient market hypothesis).If investors are of the belief that markets are efficient </w:t>
      </w:r>
      <w:r>
        <w:t xml:space="preserve">which </w:t>
      </w:r>
      <w:r w:rsidRPr="00D525F6">
        <w:t>mean</w:t>
      </w:r>
      <w:r>
        <w:t>s</w:t>
      </w:r>
      <w:r w:rsidRPr="00D525F6">
        <w:t xml:space="preserve"> that all the relevant i</w:t>
      </w:r>
      <w:r>
        <w:t>nformation is available to</w:t>
      </w:r>
      <w:r w:rsidRPr="00D525F6">
        <w:t xml:space="preserve"> the inves</w:t>
      </w:r>
      <w:r>
        <w:t>tors they would perhaps use a “p</w:t>
      </w:r>
      <w:r w:rsidRPr="00D525F6">
        <w:t>assive management approach</w:t>
      </w:r>
    </w:p>
    <w:p w:rsidR="00A060F8" w:rsidRPr="007C222F" w:rsidRDefault="00AE5C02" w:rsidP="003E2086">
      <w:pPr>
        <w:spacing w:before="100" w:beforeAutospacing="1" w:after="100" w:afterAutospacing="1" w:line="360" w:lineRule="auto"/>
        <w:rPr>
          <w:sz w:val="28"/>
          <w:szCs w:val="28"/>
        </w:rPr>
      </w:pPr>
      <w:r w:rsidRPr="007C222F">
        <w:rPr>
          <w:b/>
          <w:sz w:val="28"/>
          <w:szCs w:val="28"/>
        </w:rPr>
        <w:t xml:space="preserve">Passive </w:t>
      </w:r>
      <w:r w:rsidR="007F78C0" w:rsidRPr="007C222F">
        <w:rPr>
          <w:b/>
          <w:sz w:val="28"/>
          <w:szCs w:val="28"/>
        </w:rPr>
        <w:t xml:space="preserve">Management </w:t>
      </w:r>
      <w:r w:rsidRPr="007C222F">
        <w:rPr>
          <w:b/>
          <w:sz w:val="28"/>
          <w:szCs w:val="28"/>
        </w:rPr>
        <w:t>Approach</w:t>
      </w:r>
      <w:r w:rsidRPr="007C222F">
        <w:rPr>
          <w:sz w:val="28"/>
          <w:szCs w:val="28"/>
        </w:rPr>
        <w:tab/>
      </w:r>
      <w:r w:rsidRPr="007C222F">
        <w:rPr>
          <w:sz w:val="28"/>
          <w:szCs w:val="28"/>
        </w:rPr>
        <w:tab/>
      </w:r>
      <w:r w:rsidRPr="007C222F">
        <w:rPr>
          <w:sz w:val="28"/>
          <w:szCs w:val="28"/>
        </w:rPr>
        <w:tab/>
      </w:r>
      <w:r w:rsidRPr="007C222F">
        <w:rPr>
          <w:sz w:val="28"/>
          <w:szCs w:val="28"/>
        </w:rPr>
        <w:tab/>
      </w:r>
      <w:r w:rsidRPr="007C222F">
        <w:rPr>
          <w:sz w:val="28"/>
          <w:szCs w:val="28"/>
        </w:rPr>
        <w:tab/>
      </w:r>
      <w:r w:rsidRPr="007C222F">
        <w:rPr>
          <w:sz w:val="28"/>
          <w:szCs w:val="28"/>
        </w:rPr>
        <w:tab/>
      </w:r>
      <w:r w:rsidRPr="007C222F">
        <w:rPr>
          <w:sz w:val="28"/>
          <w:szCs w:val="28"/>
        </w:rPr>
        <w:tab/>
      </w:r>
    </w:p>
    <w:p w:rsidR="00A060F8" w:rsidRPr="00E24788" w:rsidRDefault="00A060F8" w:rsidP="003E2086">
      <w:pPr>
        <w:spacing w:before="100" w:beforeAutospacing="1" w:after="100" w:afterAutospacing="1" w:line="360" w:lineRule="auto"/>
      </w:pPr>
      <w:r w:rsidRPr="00E24788">
        <w:t xml:space="preserve">Passive management strategies do not strive </w:t>
      </w:r>
      <w:r w:rsidR="00BF1CD1">
        <w:t xml:space="preserve">to </w:t>
      </w:r>
      <w:r w:rsidRPr="00E24788">
        <w:t xml:space="preserve">outperform the market but definitely strive </w:t>
      </w:r>
      <w:r w:rsidR="00913725">
        <w:t>to perform</w:t>
      </w:r>
      <w:r w:rsidRPr="00E24788">
        <w:t xml:space="preserve"> as well as the overall market itself. Passive management strategies are the production </w:t>
      </w:r>
      <w:r w:rsidR="00913725" w:rsidRPr="00E24788">
        <w:t>of</w:t>
      </w:r>
      <w:r w:rsidR="00913725">
        <w:t xml:space="preserve"> </w:t>
      </w:r>
      <w:r w:rsidR="00913725" w:rsidRPr="00E24788">
        <w:t>“Efficient</w:t>
      </w:r>
      <w:r w:rsidRPr="00E24788">
        <w:t xml:space="preserve"> Market Hypothesis</w:t>
      </w:r>
      <w:r w:rsidR="004F6867">
        <w:t>”</w:t>
      </w:r>
      <w:r w:rsidRPr="00E24788">
        <w:t xml:space="preserve">. </w:t>
      </w:r>
    </w:p>
    <w:p w:rsidR="00D553F0" w:rsidRPr="00E24788" w:rsidRDefault="00A060F8" w:rsidP="003E2086">
      <w:pPr>
        <w:spacing w:before="100" w:beforeAutospacing="1" w:after="100" w:afterAutospacing="1" w:line="360" w:lineRule="auto"/>
      </w:pPr>
      <w:r w:rsidRPr="00E24788">
        <w:t>The investors’ belief in efficient market hypothesis would lead them to use any of the following passive strategies.</w:t>
      </w:r>
    </w:p>
    <w:p w:rsidR="00AE5C02" w:rsidRDefault="00AE5C02" w:rsidP="003E2086">
      <w:pPr>
        <w:spacing w:before="100" w:beforeAutospacing="1" w:after="100" w:afterAutospacing="1" w:line="360" w:lineRule="auto"/>
        <w:rPr>
          <w:b/>
        </w:rPr>
      </w:pPr>
      <w:r w:rsidRPr="00D553F0">
        <w:rPr>
          <w:b/>
        </w:rPr>
        <w:t xml:space="preserve">Buy and </w:t>
      </w:r>
      <w:r w:rsidR="00B911AE" w:rsidRPr="00D553F0">
        <w:rPr>
          <w:b/>
        </w:rPr>
        <w:t>Hold Strategy</w:t>
      </w:r>
      <w:r w:rsidR="00D553F0">
        <w:rPr>
          <w:b/>
        </w:rPr>
        <w:t>:</w:t>
      </w:r>
    </w:p>
    <w:p w:rsidR="00C45922" w:rsidRDefault="00C45922" w:rsidP="003E2086">
      <w:pPr>
        <w:spacing w:before="100" w:beforeAutospacing="1" w:after="100" w:afterAutospacing="1" w:line="360" w:lineRule="auto"/>
      </w:pPr>
      <w:r>
        <w:t>According to Buy a</w:t>
      </w:r>
      <w:r w:rsidR="00822070">
        <w:t>nd Hold strategy investors buy</w:t>
      </w:r>
      <w:r w:rsidR="0086538D">
        <w:t xml:space="preserve"> </w:t>
      </w:r>
      <w:r>
        <w:t>common stocks and hold it for some good time in the future.</w:t>
      </w:r>
    </w:p>
    <w:p w:rsidR="00C45922" w:rsidRDefault="00C45922" w:rsidP="003E2086">
      <w:pPr>
        <w:spacing w:before="100" w:beforeAutospacing="1" w:after="100" w:afterAutospacing="1" w:line="360" w:lineRule="auto"/>
        <w:rPr>
          <w:b/>
        </w:rPr>
      </w:pPr>
      <w:r w:rsidRPr="00C45922">
        <w:rPr>
          <w:b/>
        </w:rPr>
        <w:t>Advantages:</w:t>
      </w:r>
    </w:p>
    <w:p w:rsidR="00C45922" w:rsidRDefault="00C45922" w:rsidP="003E2086">
      <w:pPr>
        <w:pStyle w:val="ListParagraph"/>
        <w:numPr>
          <w:ilvl w:val="0"/>
          <w:numId w:val="8"/>
        </w:numPr>
        <w:spacing w:before="100" w:beforeAutospacing="1" w:after="100" w:afterAutospacing="1" w:line="360" w:lineRule="auto"/>
      </w:pPr>
      <w:r>
        <w:t>This strategy helps investors to minimize the transaction costs.</w:t>
      </w:r>
    </w:p>
    <w:p w:rsidR="00C45922" w:rsidRDefault="00C45922" w:rsidP="003E2086">
      <w:pPr>
        <w:pStyle w:val="ListParagraph"/>
        <w:numPr>
          <w:ilvl w:val="0"/>
          <w:numId w:val="8"/>
        </w:numPr>
        <w:spacing w:before="100" w:beforeAutospacing="1" w:after="100" w:afterAutospacing="1" w:line="360" w:lineRule="auto"/>
      </w:pPr>
      <w:r>
        <w:t>Saves time of investors</w:t>
      </w:r>
      <w:r w:rsidR="00C36198">
        <w:t>.</w:t>
      </w:r>
    </w:p>
    <w:p w:rsidR="00FF2B2F" w:rsidRDefault="00C36198" w:rsidP="003E2086">
      <w:pPr>
        <w:pStyle w:val="ListParagraph"/>
        <w:numPr>
          <w:ilvl w:val="0"/>
          <w:numId w:val="8"/>
        </w:numPr>
        <w:spacing w:before="100" w:beforeAutospacing="1" w:after="100" w:afterAutospacing="1" w:line="360" w:lineRule="auto"/>
      </w:pPr>
      <w:r>
        <w:t xml:space="preserve">Investors </w:t>
      </w:r>
      <w:r w:rsidR="00FF2B2F">
        <w:t>tries to avoid probable mistakes involved in active management</w:t>
      </w:r>
    </w:p>
    <w:p w:rsidR="0042709D" w:rsidRDefault="0042709D" w:rsidP="003E2086">
      <w:pPr>
        <w:pStyle w:val="ListParagraph"/>
        <w:numPr>
          <w:ilvl w:val="0"/>
          <w:numId w:val="8"/>
        </w:numPr>
        <w:spacing w:before="100" w:beforeAutospacing="1" w:after="100" w:afterAutospacing="1" w:line="360" w:lineRule="auto"/>
      </w:pPr>
      <w:r>
        <w:t xml:space="preserve">Research costs minimization  </w:t>
      </w:r>
    </w:p>
    <w:p w:rsidR="0042709D" w:rsidRDefault="0042709D" w:rsidP="003E2086">
      <w:pPr>
        <w:pStyle w:val="ListParagraph"/>
        <w:numPr>
          <w:ilvl w:val="0"/>
          <w:numId w:val="8"/>
        </w:numPr>
        <w:spacing w:before="100" w:beforeAutospacing="1" w:after="100" w:afterAutospacing="1" w:line="360" w:lineRule="auto"/>
      </w:pPr>
      <w:r>
        <w:t>Portfolio managers’ fees</w:t>
      </w:r>
      <w:r w:rsidR="003C1651">
        <w:t xml:space="preserve"> reduction</w:t>
      </w:r>
    </w:p>
    <w:p w:rsidR="0042709D" w:rsidRDefault="0042709D" w:rsidP="003E2086">
      <w:pPr>
        <w:pStyle w:val="ListParagraph"/>
        <w:numPr>
          <w:ilvl w:val="0"/>
          <w:numId w:val="8"/>
        </w:numPr>
        <w:spacing w:before="100" w:beforeAutospacing="1" w:after="100" w:afterAutospacing="1" w:line="360" w:lineRule="auto"/>
      </w:pPr>
      <w:r>
        <w:t>Brokers commissions minimization</w:t>
      </w:r>
    </w:p>
    <w:p w:rsidR="00251E30" w:rsidRPr="00DB6DA9" w:rsidRDefault="00251E30" w:rsidP="003E2086">
      <w:pPr>
        <w:pStyle w:val="ListParagraph"/>
        <w:numPr>
          <w:ilvl w:val="0"/>
          <w:numId w:val="8"/>
        </w:numPr>
        <w:spacing w:before="100" w:beforeAutospacing="1" w:after="100" w:afterAutospacing="1" w:line="360" w:lineRule="auto"/>
      </w:pPr>
      <w:r>
        <w:t>Tax efficiency</w:t>
      </w:r>
    </w:p>
    <w:p w:rsidR="00DB6DA9" w:rsidRDefault="00DB6DA9" w:rsidP="003E2086">
      <w:pPr>
        <w:spacing w:before="100" w:beforeAutospacing="1" w:after="100" w:afterAutospacing="1" w:line="360" w:lineRule="auto"/>
      </w:pPr>
      <w:r w:rsidRPr="00DB6DA9">
        <w:lastRenderedPageBreak/>
        <w:t>However</w:t>
      </w:r>
      <w:r>
        <w:t xml:space="preserve"> initial selection must be done according to the </w:t>
      </w:r>
      <w:r w:rsidR="00D81E51">
        <w:t>investor’s</w:t>
      </w:r>
      <w:r>
        <w:t xml:space="preserve"> risk-return tolerance level.</w:t>
      </w:r>
    </w:p>
    <w:p w:rsidR="00AE5C02" w:rsidRDefault="00AE5C02" w:rsidP="003E2086">
      <w:pPr>
        <w:spacing w:before="100" w:beforeAutospacing="1" w:after="100" w:afterAutospacing="1" w:line="360" w:lineRule="auto"/>
        <w:rPr>
          <w:b/>
        </w:rPr>
      </w:pPr>
      <w:r w:rsidRPr="00DB6DA9">
        <w:rPr>
          <w:b/>
        </w:rPr>
        <w:t xml:space="preserve">Index </w:t>
      </w:r>
      <w:r w:rsidR="00B911AE" w:rsidRPr="00DB6DA9">
        <w:rPr>
          <w:b/>
        </w:rPr>
        <w:t>Fund Strategy</w:t>
      </w:r>
      <w:r w:rsidR="00DB6DA9">
        <w:rPr>
          <w:b/>
        </w:rPr>
        <w:t>/</w:t>
      </w:r>
      <w:r w:rsidR="00B911AE">
        <w:rPr>
          <w:b/>
        </w:rPr>
        <w:t>Passive Equity Investments</w:t>
      </w:r>
      <w:r w:rsidR="00163E44" w:rsidRPr="00DB6DA9">
        <w:rPr>
          <w:b/>
        </w:rPr>
        <w:t>:</w:t>
      </w:r>
    </w:p>
    <w:p w:rsidR="008458E3" w:rsidRDefault="0041386B" w:rsidP="003E2086">
      <w:pPr>
        <w:spacing w:before="100" w:beforeAutospacing="1" w:after="100" w:afterAutospacing="1" w:line="360" w:lineRule="auto"/>
      </w:pPr>
      <w:r>
        <w:t>According to this strategy investors design their portfolio in such a manner to replicate the performance of a particular market index (</w:t>
      </w:r>
      <w:r w:rsidR="0042709D">
        <w:t>e.g.</w:t>
      </w:r>
      <w:r>
        <w:t xml:space="preserve"> KSE 30 Index, </w:t>
      </w:r>
      <w:r w:rsidR="00920557">
        <w:t xml:space="preserve">KSE </w:t>
      </w:r>
      <w:r>
        <w:t>100</w:t>
      </w:r>
      <w:r w:rsidR="00920557">
        <w:t xml:space="preserve">, </w:t>
      </w:r>
      <w:r w:rsidR="00F26AD3">
        <w:t xml:space="preserve">NYSE </w:t>
      </w:r>
      <w:r w:rsidR="00920557">
        <w:t>etc</w:t>
      </w:r>
      <w:r>
        <w:t>)</w:t>
      </w:r>
      <w:r w:rsidR="0042709D">
        <w:t>.</w:t>
      </w:r>
    </w:p>
    <w:p w:rsidR="00686ED2" w:rsidRDefault="004A7591" w:rsidP="003E2086">
      <w:pPr>
        <w:spacing w:before="100" w:beforeAutospacing="1" w:after="100" w:afterAutospacing="1" w:line="360" w:lineRule="auto"/>
      </w:pPr>
      <w:r>
        <w:t xml:space="preserve">According to </w:t>
      </w:r>
      <w:smartTag w:uri="urn:schemas-microsoft-com:office:smarttags" w:element="place">
        <w:r>
          <w:t>Princeton</w:t>
        </w:r>
      </w:smartTag>
      <w:r>
        <w:t xml:space="preserve"> based economist Burton Malkiel “On average the typical actively managed fund underperforms the index by about two percentage points a year. And that calculations ignores the sales charges that are imposed by some actively managed funds and the extra taxes an investor pays on funds that turn over their portfolio rapidly”</w:t>
      </w:r>
      <w:r w:rsidR="0041386B">
        <w:t xml:space="preserve"> </w:t>
      </w:r>
    </w:p>
    <w:p w:rsidR="00686ED2" w:rsidRPr="005A49B2" w:rsidRDefault="00686ED2" w:rsidP="003E2086">
      <w:pPr>
        <w:spacing w:before="100" w:beforeAutospacing="1" w:after="100" w:afterAutospacing="1" w:line="360" w:lineRule="auto"/>
      </w:pPr>
      <w:r w:rsidRPr="005A49B2">
        <w:t>According to passive investment managers they think that they cannot beat the market because of the market efficiency therefore making active changes to the portfolio would simply increase their transaction costs and would waste their time for no reward at all.</w:t>
      </w:r>
    </w:p>
    <w:p w:rsidR="00AE5C02" w:rsidRPr="00155B57" w:rsidRDefault="00AE5C02" w:rsidP="003E2086">
      <w:pPr>
        <w:spacing w:before="100" w:beforeAutospacing="1" w:after="100" w:afterAutospacing="1" w:line="360" w:lineRule="auto"/>
        <w:rPr>
          <w:b/>
          <w:sz w:val="28"/>
          <w:szCs w:val="28"/>
        </w:rPr>
      </w:pPr>
      <w:r w:rsidRPr="00155B57">
        <w:rPr>
          <w:b/>
          <w:sz w:val="28"/>
          <w:szCs w:val="28"/>
        </w:rPr>
        <w:t>Active management approach:</w:t>
      </w:r>
    </w:p>
    <w:p w:rsidR="007E63C1" w:rsidRDefault="00AE5C02" w:rsidP="003E2086">
      <w:pPr>
        <w:spacing w:before="100" w:beforeAutospacing="1" w:after="100" w:afterAutospacing="1" w:line="360" w:lineRule="auto"/>
      </w:pPr>
      <w:r>
        <w:t xml:space="preserve">On the other hand if management </w:t>
      </w:r>
      <w:r w:rsidR="00EF53A9">
        <w:t>does</w:t>
      </w:r>
      <w:r>
        <w:t xml:space="preserve"> not believe in “Efficient market hypothesis” they would think that they can outperform the market with their superior judgment, information and analysis. Therefore managers with such belief would definitely </w:t>
      </w:r>
      <w:r w:rsidR="00A53CC0">
        <w:t>use active</w:t>
      </w:r>
      <w:r>
        <w:t xml:space="preserve"> management </w:t>
      </w:r>
      <w:r w:rsidR="00A53CC0">
        <w:t xml:space="preserve">strategies </w:t>
      </w:r>
      <w:r>
        <w:t>for making their portfolio decisions. Such as</w:t>
      </w:r>
    </w:p>
    <w:p w:rsidR="00FB7424" w:rsidRPr="003C7715" w:rsidRDefault="00AE5C02" w:rsidP="004F0C1D">
      <w:pPr>
        <w:spacing w:before="100" w:beforeAutospacing="1" w:after="100" w:afterAutospacing="1" w:line="360" w:lineRule="auto"/>
        <w:rPr>
          <w:b/>
        </w:rPr>
      </w:pPr>
      <w:r w:rsidRPr="003C7715">
        <w:rPr>
          <w:b/>
        </w:rPr>
        <w:t>Security selection</w:t>
      </w:r>
      <w:r w:rsidR="00FB7424" w:rsidRPr="003C7715">
        <w:rPr>
          <w:b/>
        </w:rPr>
        <w:t>:</w:t>
      </w:r>
    </w:p>
    <w:p w:rsidR="00395F60" w:rsidRDefault="00EC270D" w:rsidP="003E2086">
      <w:pPr>
        <w:spacing w:before="100" w:beforeAutospacing="1" w:after="100" w:afterAutospacing="1" w:line="360" w:lineRule="auto"/>
      </w:pPr>
      <w:r>
        <w:t>Security selection is one of the most important active management approaches</w:t>
      </w:r>
      <w:r w:rsidR="00282DC8">
        <w:t>. According to this approach investors despite of the evidence of Efficient Market Hypothesis</w:t>
      </w:r>
      <w:r w:rsidR="00395F60">
        <w:t xml:space="preserve"> tries to use fundamental and techn</w:t>
      </w:r>
      <w:r w:rsidR="00314488">
        <w:t>ical analysis to find out under</w:t>
      </w:r>
      <w:r w:rsidR="002E5C90">
        <w:t>valued stocks</w:t>
      </w:r>
      <w:r w:rsidR="00395F60">
        <w:t xml:space="preserve"> with better risk return trade off.</w:t>
      </w:r>
    </w:p>
    <w:p w:rsidR="00F43F6F" w:rsidRDefault="001A4665" w:rsidP="00BC0FB6">
      <w:pPr>
        <w:spacing w:before="100" w:beforeAutospacing="1" w:after="100" w:afterAutospacing="1" w:line="360" w:lineRule="auto"/>
      </w:pPr>
      <w:r>
        <w:t>Investors following security selection strategy try</w:t>
      </w:r>
      <w:r w:rsidR="00395F60">
        <w:t xml:space="preserve"> to select stocks</w:t>
      </w:r>
      <w:r w:rsidR="00145A82">
        <w:t xml:space="preserve"> in their portfolios</w:t>
      </w:r>
      <w:r w:rsidR="00395F60">
        <w:t xml:space="preserve"> having negative covariance in their returns.</w:t>
      </w:r>
      <w:r w:rsidR="00FF54EA">
        <w:t xml:space="preserve"> Thus trying to outperform the market based on their superior information </w:t>
      </w:r>
      <w:r w:rsidR="00DE533F">
        <w:t>a</w:t>
      </w:r>
      <w:r w:rsidR="00FF54EA">
        <w:t>nd analytical skills.</w:t>
      </w:r>
      <w:r w:rsidR="00395F60">
        <w:t xml:space="preserve"> </w:t>
      </w:r>
      <w:r w:rsidR="00282DC8">
        <w:t xml:space="preserve"> </w:t>
      </w:r>
    </w:p>
    <w:p w:rsidR="00AE5C02" w:rsidRPr="00F43F6F" w:rsidRDefault="00FB7424" w:rsidP="00BC0FB6">
      <w:pPr>
        <w:spacing w:before="100" w:beforeAutospacing="1" w:after="100" w:afterAutospacing="1" w:line="360" w:lineRule="auto"/>
      </w:pPr>
      <w:r w:rsidRPr="003C7715">
        <w:rPr>
          <w:b/>
        </w:rPr>
        <w:lastRenderedPageBreak/>
        <w:t>Sector rotation:</w:t>
      </w:r>
    </w:p>
    <w:p w:rsidR="00FB7424" w:rsidRDefault="002D1D21" w:rsidP="003E2086">
      <w:pPr>
        <w:spacing w:before="100" w:beforeAutospacing="1" w:after="100" w:afterAutospacing="1" w:line="360" w:lineRule="auto"/>
      </w:pPr>
      <w:r>
        <w:t>This is an</w:t>
      </w:r>
      <w:r w:rsidR="00FB7424">
        <w:t>other type of active management approach and in a sense similar to stock selection. In this type of strategy the sector weights are constantly changed in the portfolio in order to take advantage of good perform</w:t>
      </w:r>
      <w:r>
        <w:t xml:space="preserve">ing sectors and avoid </w:t>
      </w:r>
      <w:r w:rsidR="005D1D88">
        <w:t xml:space="preserve">the curse </w:t>
      </w:r>
      <w:r w:rsidR="00AF732F">
        <w:t xml:space="preserve">of </w:t>
      </w:r>
      <w:r>
        <w:t>losing sec</w:t>
      </w:r>
      <w:r w:rsidR="00FB7424">
        <w:t>tors.</w:t>
      </w:r>
    </w:p>
    <w:p w:rsidR="002D1D21" w:rsidRDefault="00FB7424" w:rsidP="003E2086">
      <w:pPr>
        <w:spacing w:before="100" w:beforeAutospacing="1" w:after="100" w:afterAutospacing="1" w:line="360" w:lineRule="auto"/>
      </w:pPr>
      <w:r>
        <w:t>In the sector analysis investors divide stocks into four board sectors.</w:t>
      </w:r>
    </w:p>
    <w:p w:rsidR="002D1D21" w:rsidRDefault="002D1D21" w:rsidP="003E2086">
      <w:pPr>
        <w:numPr>
          <w:ilvl w:val="0"/>
          <w:numId w:val="12"/>
        </w:numPr>
        <w:spacing w:before="100" w:beforeAutospacing="1" w:after="100" w:afterAutospacing="1" w:line="360" w:lineRule="auto"/>
      </w:pPr>
      <w:r>
        <w:t>Interest sensitive stocks</w:t>
      </w:r>
    </w:p>
    <w:p w:rsidR="002D1D21" w:rsidRDefault="002D1D21" w:rsidP="003E2086">
      <w:pPr>
        <w:numPr>
          <w:ilvl w:val="0"/>
          <w:numId w:val="12"/>
        </w:numPr>
        <w:spacing w:before="100" w:beforeAutospacing="1" w:after="100" w:afterAutospacing="1" w:line="360" w:lineRule="auto"/>
      </w:pPr>
      <w:r>
        <w:t>Consumer durable stocks</w:t>
      </w:r>
    </w:p>
    <w:p w:rsidR="002D1D21" w:rsidRDefault="002D1D21" w:rsidP="003E2086">
      <w:pPr>
        <w:numPr>
          <w:ilvl w:val="0"/>
          <w:numId w:val="12"/>
        </w:numPr>
        <w:spacing w:before="100" w:beforeAutospacing="1" w:after="100" w:afterAutospacing="1" w:line="360" w:lineRule="auto"/>
      </w:pPr>
      <w:r>
        <w:t>Capital goods stocks</w:t>
      </w:r>
    </w:p>
    <w:p w:rsidR="002D1D21" w:rsidRDefault="002D1D21" w:rsidP="003E2086">
      <w:pPr>
        <w:numPr>
          <w:ilvl w:val="0"/>
          <w:numId w:val="12"/>
        </w:numPr>
        <w:spacing w:before="100" w:beforeAutospacing="1" w:after="100" w:afterAutospacing="1" w:line="360" w:lineRule="auto"/>
      </w:pPr>
      <w:r>
        <w:t xml:space="preserve">Defensive stocks </w:t>
      </w:r>
    </w:p>
    <w:p w:rsidR="002D1D21" w:rsidRDefault="002D1D21" w:rsidP="003E2086">
      <w:pPr>
        <w:spacing w:before="100" w:beforeAutospacing="1" w:after="100" w:afterAutospacing="1" w:line="360" w:lineRule="auto"/>
      </w:pPr>
      <w:r>
        <w:t>All these stocks are expected to perform differently during the different phases of business cycle. But to take adva</w:t>
      </w:r>
      <w:r w:rsidR="003F0651">
        <w:t xml:space="preserve">ntage of the rotation strategy </w:t>
      </w:r>
      <w:r>
        <w:t>investors must have</w:t>
      </w:r>
      <w:r w:rsidR="007E455A">
        <w:t xml:space="preserve"> superior</w:t>
      </w:r>
      <w:r>
        <w:t xml:space="preserve"> knowledge</w:t>
      </w:r>
      <w:r w:rsidR="003F0651">
        <w:t xml:space="preserve"> of business cycle.</w:t>
      </w:r>
    </w:p>
    <w:p w:rsidR="00FB7424" w:rsidRDefault="00FB7424" w:rsidP="003E2086">
      <w:pPr>
        <w:spacing w:before="100" w:beforeAutospacing="1" w:after="100" w:afterAutospacing="1" w:line="360" w:lineRule="auto"/>
      </w:pPr>
    </w:p>
    <w:p w:rsidR="00AE5C02" w:rsidRPr="003C7715" w:rsidRDefault="00AE5C02" w:rsidP="003E2086">
      <w:pPr>
        <w:spacing w:before="100" w:beforeAutospacing="1" w:after="100" w:afterAutospacing="1" w:line="360" w:lineRule="auto"/>
      </w:pPr>
      <w:r w:rsidRPr="003C7715">
        <w:rPr>
          <w:b/>
        </w:rPr>
        <w:t>Mark</w:t>
      </w:r>
      <w:bookmarkStart w:id="0" w:name="_GoBack"/>
      <w:bookmarkEnd w:id="0"/>
      <w:r w:rsidRPr="003C7715">
        <w:rPr>
          <w:b/>
        </w:rPr>
        <w:t>et timing</w:t>
      </w:r>
      <w:r w:rsidR="003C7715">
        <w:rPr>
          <w:b/>
        </w:rPr>
        <w:t>:</w:t>
      </w:r>
    </w:p>
    <w:p w:rsidR="00FB48D5" w:rsidRDefault="003C7715" w:rsidP="003E2086">
      <w:pPr>
        <w:spacing w:before="100" w:beforeAutospacing="1" w:after="100" w:afterAutospacing="1" w:line="360" w:lineRule="auto"/>
      </w:pPr>
      <w:r w:rsidRPr="003C7715">
        <w:t xml:space="preserve">Market </w:t>
      </w:r>
      <w:r>
        <w:t xml:space="preserve">timers invest high weights of their </w:t>
      </w:r>
      <w:r w:rsidR="00C679F7">
        <w:t>portfolios in high beta stocks when</w:t>
      </w:r>
      <w:r w:rsidR="009B1D4D">
        <w:t xml:space="preserve">ever </w:t>
      </w:r>
      <w:r w:rsidR="00C679F7">
        <w:t>they anticipate that the market is going to experience a bullish trend</w:t>
      </w:r>
      <w:r w:rsidR="00FB48D5">
        <w:t xml:space="preserve"> and act oppositely when they smell bad times in the stock market.</w:t>
      </w:r>
    </w:p>
    <w:p w:rsidR="00EE027C" w:rsidRDefault="00FB48D5" w:rsidP="003E2086">
      <w:pPr>
        <w:spacing w:before="100" w:beforeAutospacing="1" w:after="100" w:afterAutospacing="1" w:line="360" w:lineRule="auto"/>
      </w:pPr>
      <w:r>
        <w:t>Though this seems to be a v</w:t>
      </w:r>
      <w:r w:rsidR="008C1E4C">
        <w:t>ery attractive strategy but the</w:t>
      </w:r>
      <w:r>
        <w:t xml:space="preserve"> problem associated with this strategy is that investors may miss the good time of doing the s</w:t>
      </w:r>
      <w:r w:rsidR="00EE027C">
        <w:t>ame and may suffer tremendously.</w:t>
      </w:r>
    </w:p>
    <w:p w:rsidR="003C7715" w:rsidRDefault="00EE027C" w:rsidP="003E2086">
      <w:pPr>
        <w:spacing w:before="100" w:beforeAutospacing="1" w:after="100" w:afterAutospacing="1" w:line="360" w:lineRule="auto"/>
      </w:pPr>
      <w:r>
        <w:t>That is why Charles Ellis says</w:t>
      </w:r>
      <w:r w:rsidR="00B605F5">
        <w:t xml:space="preserve"> “Market timing is a wicked idea, </w:t>
      </w:r>
      <w:r w:rsidR="000F1D04">
        <w:t>don’t</w:t>
      </w:r>
      <w:r w:rsidR="00B605F5">
        <w:t xml:space="preserve"> try it ever”</w:t>
      </w:r>
      <w:r w:rsidR="000F1D04">
        <w:rPr>
          <w:rStyle w:val="FootnoteReference"/>
        </w:rPr>
        <w:footnoteReference w:id="1"/>
      </w:r>
      <w:r w:rsidR="00FB48D5">
        <w:t xml:space="preserve"> </w:t>
      </w:r>
    </w:p>
    <w:p w:rsidR="00AB722A" w:rsidRDefault="0061051C" w:rsidP="003E2086">
      <w:pPr>
        <w:spacing w:before="100" w:beforeAutospacing="1" w:after="100" w:afterAutospacing="1" w:line="360" w:lineRule="auto"/>
      </w:pPr>
      <w:r>
        <w:t>Any Serwer says “investors need to avoid the negatives of buying fads, crummy companies and time the market”</w:t>
      </w:r>
      <w:r>
        <w:rPr>
          <w:rStyle w:val="FootnoteReference"/>
        </w:rPr>
        <w:footnoteReference w:id="2"/>
      </w:r>
    </w:p>
    <w:p w:rsidR="00AE5C02" w:rsidRPr="00AB722A" w:rsidRDefault="00767762" w:rsidP="003E2086">
      <w:pPr>
        <w:spacing w:before="100" w:beforeAutospacing="1" w:after="100" w:afterAutospacing="1" w:line="360" w:lineRule="auto"/>
      </w:pPr>
      <w:r>
        <w:rPr>
          <w:b/>
          <w:sz w:val="32"/>
          <w:szCs w:val="32"/>
        </w:rPr>
        <w:lastRenderedPageBreak/>
        <w:t>Research Statement:</w:t>
      </w:r>
    </w:p>
    <w:p w:rsidR="00AE5C02" w:rsidRDefault="00AE5C02" w:rsidP="003E2086">
      <w:pPr>
        <w:spacing w:before="100" w:beforeAutospacing="1" w:after="100" w:afterAutospacing="1" w:line="360" w:lineRule="auto"/>
      </w:pPr>
      <w:r>
        <w:t>Our research study would focus on three things.</w:t>
      </w:r>
    </w:p>
    <w:p w:rsidR="00AE5C02" w:rsidRDefault="00FC7295" w:rsidP="003E2086">
      <w:pPr>
        <w:pStyle w:val="ListParagraph"/>
        <w:numPr>
          <w:ilvl w:val="0"/>
          <w:numId w:val="2"/>
        </w:numPr>
        <w:spacing w:before="100" w:beforeAutospacing="1" w:after="100" w:afterAutospacing="1" w:line="360" w:lineRule="auto"/>
      </w:pPr>
      <w:r>
        <w:t>This</w:t>
      </w:r>
      <w:r w:rsidR="00AE5C02">
        <w:t xml:space="preserve"> study would focus on the question that whether restricting investments to the highest quartile stocks truly help investors to avoid losing years?</w:t>
      </w:r>
    </w:p>
    <w:p w:rsidR="00AE5C02" w:rsidRDefault="00AE5C02" w:rsidP="003E2086">
      <w:pPr>
        <w:pStyle w:val="ListParagraph"/>
        <w:numPr>
          <w:ilvl w:val="0"/>
          <w:numId w:val="2"/>
        </w:numPr>
        <w:spacing w:before="100" w:beforeAutospacing="1" w:after="100" w:afterAutospacing="1" w:line="360" w:lineRule="auto"/>
      </w:pPr>
      <w:r>
        <w:t xml:space="preserve"> </w:t>
      </w:r>
      <w:r w:rsidR="00303E18">
        <w:t>This study</w:t>
      </w:r>
      <w:r>
        <w:t xml:space="preserve"> would also check </w:t>
      </w:r>
      <w:r w:rsidR="00303E18">
        <w:t>out the</w:t>
      </w:r>
      <w:r>
        <w:t xml:space="preserve"> momentum in stock </w:t>
      </w:r>
      <w:r w:rsidR="00E95E43">
        <w:t>returns, ROE</w:t>
      </w:r>
      <w:r w:rsidR="003F7D05">
        <w:t>, ROA</w:t>
      </w:r>
      <w:r>
        <w:t xml:space="preserve"> (tendency to continue its good or poor performance for some period of time</w:t>
      </w:r>
      <w:r w:rsidR="00D118E7" w:rsidRPr="00303E18">
        <w:rPr>
          <w:i/>
        </w:rPr>
        <w:t xml:space="preserve">) </w:t>
      </w:r>
      <w:r w:rsidR="00D118E7">
        <w:t xml:space="preserve">in order to check </w:t>
      </w:r>
      <w:r>
        <w:t>whether Pakistani stock returns follow the same pattern or somewhat different pattern.</w:t>
      </w:r>
    </w:p>
    <w:p w:rsidR="00E95E43" w:rsidRDefault="00E95E43" w:rsidP="003E2086">
      <w:pPr>
        <w:pStyle w:val="ListParagraph"/>
        <w:numPr>
          <w:ilvl w:val="0"/>
          <w:numId w:val="2"/>
        </w:numPr>
        <w:spacing w:before="100" w:beforeAutospacing="1" w:after="100" w:afterAutospacing="1" w:line="360" w:lineRule="auto"/>
      </w:pPr>
      <w:r>
        <w:t xml:space="preserve">The </w:t>
      </w:r>
      <w:r w:rsidR="006C660D">
        <w:t>average market returns, ROA and ROE of the winners are more consistent or less volatile than the average market returns, ROA and ROE of the losers?</w:t>
      </w:r>
    </w:p>
    <w:p w:rsidR="00584F7C" w:rsidRPr="00954274" w:rsidRDefault="00767762" w:rsidP="003E2086">
      <w:pPr>
        <w:spacing w:before="100" w:beforeAutospacing="1" w:after="100" w:afterAutospacing="1" w:line="360" w:lineRule="auto"/>
        <w:rPr>
          <w:b/>
          <w:sz w:val="32"/>
          <w:szCs w:val="32"/>
        </w:rPr>
      </w:pPr>
      <w:r>
        <w:rPr>
          <w:b/>
          <w:sz w:val="32"/>
          <w:szCs w:val="32"/>
        </w:rPr>
        <w:t xml:space="preserve"> </w:t>
      </w:r>
      <w:r w:rsidR="005A217A" w:rsidRPr="00954274">
        <w:rPr>
          <w:b/>
          <w:sz w:val="32"/>
          <w:szCs w:val="32"/>
        </w:rPr>
        <w:t>Purpose of the study:</w:t>
      </w:r>
    </w:p>
    <w:p w:rsidR="00B928C6" w:rsidRDefault="00584F7C" w:rsidP="003E2086">
      <w:pPr>
        <w:spacing w:before="100" w:beforeAutospacing="1" w:after="100" w:afterAutospacing="1" w:line="360" w:lineRule="auto"/>
      </w:pPr>
      <w:r>
        <w:t xml:space="preserve">Assume that </w:t>
      </w:r>
      <w:r w:rsidR="0079058A">
        <w:t>market is</w:t>
      </w:r>
      <w:r>
        <w:t xml:space="preserve"> inefficient and Efficient Market Hypothesis has no existence at all, then how investors could </w:t>
      </w:r>
      <w:r w:rsidR="0086083C">
        <w:t xml:space="preserve">make best </w:t>
      </w:r>
      <w:r>
        <w:t xml:space="preserve">use </w:t>
      </w:r>
      <w:r w:rsidR="004C36BC">
        <w:t xml:space="preserve">of </w:t>
      </w:r>
      <w:r>
        <w:t>security selection st</w:t>
      </w:r>
      <w:r w:rsidR="004C36BC">
        <w:t>r</w:t>
      </w:r>
      <w:r>
        <w:t>ategy (active management strategy)</w:t>
      </w:r>
      <w:r w:rsidR="00B928C6">
        <w:t>?</w:t>
      </w:r>
    </w:p>
    <w:p w:rsidR="00B928C6" w:rsidRDefault="00B928C6" w:rsidP="003E2086">
      <w:pPr>
        <w:spacing w:before="100" w:beforeAutospacing="1" w:after="100" w:afterAutospacing="1" w:line="360" w:lineRule="auto"/>
      </w:pPr>
      <w:r>
        <w:t>For stocks selection many approaches are used like</w:t>
      </w:r>
    </w:p>
    <w:p w:rsidR="00D24A24" w:rsidRDefault="00D24A24" w:rsidP="003E2086">
      <w:pPr>
        <w:pStyle w:val="ListParagraph"/>
        <w:numPr>
          <w:ilvl w:val="0"/>
          <w:numId w:val="9"/>
        </w:numPr>
        <w:spacing w:before="100" w:beforeAutospacing="1" w:after="100" w:afterAutospacing="1" w:line="360" w:lineRule="auto"/>
      </w:pPr>
      <w:r>
        <w:t>Technical analysis</w:t>
      </w:r>
    </w:p>
    <w:p w:rsidR="00D24A24" w:rsidRDefault="00D24A24" w:rsidP="003E2086">
      <w:pPr>
        <w:pStyle w:val="ListParagraph"/>
        <w:numPr>
          <w:ilvl w:val="0"/>
          <w:numId w:val="9"/>
        </w:numPr>
        <w:spacing w:before="100" w:beforeAutospacing="1" w:after="100" w:afterAutospacing="1" w:line="360" w:lineRule="auto"/>
      </w:pPr>
      <w:r>
        <w:t>Fundamental analysis</w:t>
      </w:r>
    </w:p>
    <w:p w:rsidR="0003205D" w:rsidRDefault="0003205D" w:rsidP="003E2086">
      <w:pPr>
        <w:pStyle w:val="ListParagraph"/>
        <w:numPr>
          <w:ilvl w:val="0"/>
          <w:numId w:val="9"/>
        </w:numPr>
        <w:spacing w:before="100" w:beforeAutospacing="1" w:after="100" w:afterAutospacing="1" w:line="360" w:lineRule="auto"/>
      </w:pPr>
      <w:r>
        <w:t>Momentum approach</w:t>
      </w:r>
    </w:p>
    <w:p w:rsidR="00105DB5" w:rsidRDefault="00FB4EED" w:rsidP="003E2086">
      <w:pPr>
        <w:spacing w:before="100" w:beforeAutospacing="1" w:after="100" w:afterAutospacing="1" w:line="360" w:lineRule="auto"/>
      </w:pPr>
      <w:r>
        <w:t xml:space="preserve">The focus of this </w:t>
      </w:r>
      <w:r w:rsidR="00584F7C" w:rsidRPr="0003205D">
        <w:t xml:space="preserve">study is how to </w:t>
      </w:r>
      <w:r w:rsidR="00484ED4">
        <w:t xml:space="preserve">make </w:t>
      </w:r>
      <w:r w:rsidR="00584F7C" w:rsidRPr="0003205D">
        <w:t xml:space="preserve">best use </w:t>
      </w:r>
      <w:r w:rsidR="007706F5">
        <w:t xml:space="preserve">of </w:t>
      </w:r>
      <w:r w:rsidR="0003205D">
        <w:t>momentum approach</w:t>
      </w:r>
      <w:r>
        <w:t xml:space="preserve"> and </w:t>
      </w:r>
      <w:r w:rsidR="007907DB">
        <w:t xml:space="preserve">take advantage of the </w:t>
      </w:r>
      <w:r>
        <w:t xml:space="preserve">cross sectional variation in common stocks </w:t>
      </w:r>
      <w:r w:rsidR="007907DB">
        <w:t>returns. As</w:t>
      </w:r>
      <w:r w:rsidR="001E1597">
        <w:t xml:space="preserve"> not too much work has been done on this topic in the context of Pakistani sto</w:t>
      </w:r>
      <w:r w:rsidR="00654432">
        <w:t xml:space="preserve">ck </w:t>
      </w:r>
      <w:r w:rsidR="00D042DB">
        <w:t>market. So</w:t>
      </w:r>
      <w:r w:rsidR="00654432">
        <w:t xml:space="preserve"> </w:t>
      </w:r>
      <w:r w:rsidR="001E1597">
        <w:t xml:space="preserve">it is hoped that this work would open ways to more research on this topic in </w:t>
      </w:r>
      <w:smartTag w:uri="urn:schemas-microsoft-com:office:smarttags" w:element="country-region">
        <w:smartTag w:uri="urn:schemas-microsoft-com:office:smarttags" w:element="place">
          <w:r w:rsidR="001A7209">
            <w:t>Pakistan</w:t>
          </w:r>
        </w:smartTag>
      </w:smartTag>
      <w:r w:rsidR="00280969">
        <w:t xml:space="preserve"> and would ultimately deliver</w:t>
      </w:r>
      <w:r w:rsidR="001A7209">
        <w:t xml:space="preserve"> some fruitful results.</w:t>
      </w:r>
    </w:p>
    <w:p w:rsidR="00A858DE" w:rsidRDefault="007F322C" w:rsidP="003E2086">
      <w:pPr>
        <w:spacing w:before="100" w:beforeAutospacing="1" w:after="100" w:afterAutospacing="1" w:line="360" w:lineRule="auto"/>
      </w:pPr>
      <w:r w:rsidRPr="007F322C">
        <w:t>The purpose of this research is to provide research based information to the investors about one of the active strategies which is stock selection that how this active strategy can help them avoid downfalls and risks associated with stock market.</w:t>
      </w:r>
    </w:p>
    <w:p w:rsidR="007F322C" w:rsidRDefault="007F322C" w:rsidP="003E2086">
      <w:pPr>
        <w:spacing w:before="100" w:beforeAutospacing="1" w:after="100" w:afterAutospacing="1" w:line="360" w:lineRule="auto"/>
      </w:pPr>
      <w:r w:rsidRPr="007F322C">
        <w:lastRenderedPageBreak/>
        <w:t xml:space="preserve">Backed with facts and figures and historical data from Karachi </w:t>
      </w:r>
      <w:r w:rsidR="00A858DE" w:rsidRPr="007F322C">
        <w:t xml:space="preserve">Stock </w:t>
      </w:r>
      <w:r w:rsidR="004B2CF8">
        <w:t xml:space="preserve">Exchange, </w:t>
      </w:r>
      <w:r w:rsidRPr="007F322C">
        <w:t xml:space="preserve">our aim </w:t>
      </w:r>
      <w:r w:rsidR="008B26B0">
        <w:t>is to understand the consistency</w:t>
      </w:r>
      <w:r w:rsidRPr="007F322C">
        <w:t xml:space="preserve"> in the performance of stocks in upper quartile and performance of stocks in lower quartile so that they may be encouraged</w:t>
      </w:r>
      <w:r w:rsidR="00DB49C7">
        <w:t xml:space="preserve"> to come forward and invest in the stock market</w:t>
      </w:r>
      <w:r w:rsidRPr="007F322C">
        <w:t>.</w:t>
      </w:r>
      <w:r w:rsidR="00DB49C7">
        <w:t xml:space="preserve"> So that the economic activity in the country can be speed up.</w:t>
      </w:r>
    </w:p>
    <w:p w:rsidR="00954274" w:rsidRDefault="00954274" w:rsidP="003E2086">
      <w:pPr>
        <w:spacing w:before="100" w:beforeAutospacing="1" w:after="100" w:afterAutospacing="1" w:line="360" w:lineRule="auto"/>
        <w:rPr>
          <w:b/>
          <w:sz w:val="32"/>
          <w:szCs w:val="32"/>
        </w:rPr>
      </w:pPr>
      <w:r w:rsidRPr="00954274">
        <w:rPr>
          <w:b/>
          <w:sz w:val="32"/>
          <w:szCs w:val="32"/>
        </w:rPr>
        <w:t xml:space="preserve">The </w:t>
      </w:r>
      <w:r>
        <w:rPr>
          <w:b/>
          <w:sz w:val="32"/>
          <w:szCs w:val="32"/>
        </w:rPr>
        <w:t>limiting factors of the study</w:t>
      </w:r>
    </w:p>
    <w:p w:rsidR="001F62B5" w:rsidRPr="001F62B5" w:rsidRDefault="001F62B5" w:rsidP="003E2086">
      <w:pPr>
        <w:spacing w:before="100" w:beforeAutospacing="1" w:after="100" w:afterAutospacing="1" w:line="360" w:lineRule="auto"/>
      </w:pPr>
      <w:r w:rsidRPr="001F62B5">
        <w:t>This study could have been made better than it is</w:t>
      </w:r>
      <w:r w:rsidR="00095B9A">
        <w:t>,</w:t>
      </w:r>
      <w:r w:rsidRPr="001F62B5">
        <w:t xml:space="preserve"> in the absence of the following factors</w:t>
      </w:r>
    </w:p>
    <w:p w:rsidR="00954274" w:rsidRDefault="00704EEE" w:rsidP="003E2086">
      <w:pPr>
        <w:numPr>
          <w:ilvl w:val="0"/>
          <w:numId w:val="14"/>
        </w:numPr>
        <w:spacing w:before="100" w:beforeAutospacing="1" w:after="100" w:afterAutospacing="1" w:line="360" w:lineRule="auto"/>
      </w:pPr>
      <w:r>
        <w:t>As this study is an academic requirement for my degree completion</w:t>
      </w:r>
      <w:r w:rsidR="000C7DD4">
        <w:t>. So the</w:t>
      </w:r>
      <w:r w:rsidR="00FC6729" w:rsidRPr="00FC6729">
        <w:t xml:space="preserve"> time frame (nearly 47 days) given for the completion of this study </w:t>
      </w:r>
      <w:r w:rsidR="009C62F4">
        <w:t>was the main limiting factor</w:t>
      </w:r>
      <w:r w:rsidR="000C7DD4">
        <w:t>.</w:t>
      </w:r>
    </w:p>
    <w:p w:rsidR="000C7DD4" w:rsidRDefault="000C7DD4" w:rsidP="003E2086">
      <w:pPr>
        <w:numPr>
          <w:ilvl w:val="0"/>
          <w:numId w:val="14"/>
        </w:numPr>
        <w:spacing w:before="100" w:beforeAutospacing="1" w:after="100" w:afterAutospacing="1" w:line="360" w:lineRule="auto"/>
      </w:pPr>
      <w:r>
        <w:t>Finding the required data of</w:t>
      </w:r>
      <w:r w:rsidR="001F026E">
        <w:t xml:space="preserve"> the companies from 2001 to 2010</w:t>
      </w:r>
      <w:r>
        <w:t xml:space="preserve"> wa</w:t>
      </w:r>
      <w:r w:rsidR="009F0763">
        <w:t>s a</w:t>
      </w:r>
      <w:r w:rsidR="001F026E">
        <w:t>nother</w:t>
      </w:r>
      <w:r w:rsidR="009F0763">
        <w:t xml:space="preserve"> daunting and cumbersome </w:t>
      </w:r>
      <w:r w:rsidR="0082243F">
        <w:t xml:space="preserve">task. Annual reports of many companies </w:t>
      </w:r>
      <w:r w:rsidR="0052233E">
        <w:t>were difficult to find.</w:t>
      </w:r>
    </w:p>
    <w:p w:rsidR="009F0763" w:rsidRDefault="009F0763" w:rsidP="003E2086">
      <w:pPr>
        <w:numPr>
          <w:ilvl w:val="0"/>
          <w:numId w:val="14"/>
        </w:numPr>
        <w:spacing w:before="100" w:beforeAutospacing="1" w:after="100" w:afterAutospacing="1" w:line="360" w:lineRule="auto"/>
      </w:pPr>
      <w:r>
        <w:t xml:space="preserve">Financial resources were limited for me to visit the companies </w:t>
      </w:r>
      <w:r w:rsidR="001F0D11">
        <w:t xml:space="preserve">individually </w:t>
      </w:r>
      <w:r>
        <w:t>and bring more valuable insights of the companies.</w:t>
      </w:r>
    </w:p>
    <w:p w:rsidR="000C7DD4" w:rsidRPr="00FC6729" w:rsidRDefault="008C3E46" w:rsidP="003E2086">
      <w:pPr>
        <w:numPr>
          <w:ilvl w:val="0"/>
          <w:numId w:val="14"/>
        </w:numPr>
        <w:spacing w:before="100" w:beforeAutospacing="1" w:after="100" w:afterAutospacing="1" w:line="360" w:lineRule="auto"/>
      </w:pPr>
      <w:r>
        <w:t xml:space="preserve">The work done on this topic is very rare in the context of </w:t>
      </w:r>
      <w:smartTag w:uri="urn:schemas-microsoft-com:office:smarttags" w:element="place">
        <w:smartTag w:uri="urn:schemas-microsoft-com:office:smarttags" w:element="country-region">
          <w:r>
            <w:t>Pakistan</w:t>
          </w:r>
        </w:smartTag>
      </w:smartTag>
      <w:r>
        <w:t xml:space="preserve"> therefore literature review was a problem.</w:t>
      </w:r>
    </w:p>
    <w:p w:rsidR="007F322C" w:rsidRPr="005A217A" w:rsidRDefault="007F322C" w:rsidP="003E2086">
      <w:pPr>
        <w:spacing w:before="100" w:beforeAutospacing="1" w:after="100" w:afterAutospacing="1" w:line="360" w:lineRule="auto"/>
        <w:rPr>
          <w:sz w:val="32"/>
          <w:szCs w:val="32"/>
        </w:rPr>
      </w:pPr>
    </w:p>
    <w:p w:rsidR="00954274" w:rsidRDefault="00954274" w:rsidP="003E2086">
      <w:pPr>
        <w:spacing w:before="100" w:beforeAutospacing="1" w:after="100" w:afterAutospacing="1" w:line="360" w:lineRule="auto"/>
        <w:rPr>
          <w:b/>
          <w:sz w:val="28"/>
          <w:szCs w:val="28"/>
        </w:rPr>
      </w:pPr>
    </w:p>
    <w:p w:rsidR="00954274" w:rsidRDefault="00954274" w:rsidP="003E2086">
      <w:pPr>
        <w:spacing w:before="100" w:beforeAutospacing="1" w:after="100" w:afterAutospacing="1" w:line="360" w:lineRule="auto"/>
        <w:rPr>
          <w:b/>
          <w:sz w:val="28"/>
          <w:szCs w:val="28"/>
        </w:rPr>
      </w:pPr>
    </w:p>
    <w:p w:rsidR="00DD3084" w:rsidRDefault="0096644E" w:rsidP="003E2086">
      <w:pPr>
        <w:spacing w:before="100" w:beforeAutospacing="1" w:after="100" w:afterAutospacing="1" w:line="360" w:lineRule="auto"/>
        <w:rPr>
          <w:b/>
          <w:sz w:val="28"/>
          <w:szCs w:val="28"/>
        </w:rPr>
      </w:pPr>
      <w:r>
        <w:rPr>
          <w:b/>
          <w:sz w:val="28"/>
          <w:szCs w:val="28"/>
        </w:rPr>
        <w:t xml:space="preserve">                                     </w:t>
      </w:r>
    </w:p>
    <w:p w:rsidR="00DD3084" w:rsidRDefault="00DD3084" w:rsidP="003E2086">
      <w:pPr>
        <w:spacing w:before="100" w:beforeAutospacing="1" w:after="100" w:afterAutospacing="1" w:line="360" w:lineRule="auto"/>
        <w:rPr>
          <w:b/>
          <w:sz w:val="28"/>
          <w:szCs w:val="28"/>
        </w:rPr>
      </w:pPr>
    </w:p>
    <w:p w:rsidR="00767762" w:rsidRDefault="00767762" w:rsidP="003E2086">
      <w:pPr>
        <w:spacing w:before="100" w:beforeAutospacing="1" w:after="100" w:afterAutospacing="1" w:line="360" w:lineRule="auto"/>
        <w:rPr>
          <w:b/>
          <w:sz w:val="28"/>
          <w:szCs w:val="28"/>
        </w:rPr>
      </w:pPr>
    </w:p>
    <w:p w:rsidR="00767762" w:rsidRDefault="00767762" w:rsidP="003E2086">
      <w:pPr>
        <w:spacing w:before="100" w:beforeAutospacing="1" w:after="100" w:afterAutospacing="1" w:line="360" w:lineRule="auto"/>
        <w:rPr>
          <w:b/>
          <w:sz w:val="28"/>
          <w:szCs w:val="28"/>
        </w:rPr>
      </w:pPr>
    </w:p>
    <w:p w:rsidR="00767762" w:rsidRDefault="00767762" w:rsidP="003E2086">
      <w:pPr>
        <w:spacing w:before="100" w:beforeAutospacing="1" w:after="100" w:afterAutospacing="1" w:line="360" w:lineRule="auto"/>
        <w:rPr>
          <w:b/>
          <w:sz w:val="28"/>
          <w:szCs w:val="28"/>
        </w:rPr>
      </w:pPr>
    </w:p>
    <w:p w:rsidR="00AE5C02" w:rsidRPr="000060A6" w:rsidRDefault="0096644E" w:rsidP="003E2086">
      <w:pPr>
        <w:spacing w:before="100" w:beforeAutospacing="1" w:after="100" w:afterAutospacing="1" w:line="360" w:lineRule="auto"/>
        <w:rPr>
          <w:b/>
          <w:sz w:val="36"/>
          <w:szCs w:val="36"/>
        </w:rPr>
      </w:pPr>
      <w:r>
        <w:rPr>
          <w:b/>
          <w:sz w:val="28"/>
          <w:szCs w:val="28"/>
        </w:rPr>
        <w:lastRenderedPageBreak/>
        <w:t xml:space="preserve">  </w:t>
      </w:r>
      <w:r w:rsidRPr="005749BA">
        <w:rPr>
          <w:b/>
          <w:sz w:val="36"/>
          <w:szCs w:val="36"/>
        </w:rPr>
        <w:t xml:space="preserve">Chapter </w:t>
      </w:r>
      <w:r w:rsidR="003971F6" w:rsidRPr="005749BA">
        <w:rPr>
          <w:b/>
          <w:sz w:val="36"/>
          <w:szCs w:val="36"/>
        </w:rPr>
        <w:t>02</w:t>
      </w:r>
      <w:r w:rsidR="003971F6">
        <w:rPr>
          <w:b/>
          <w:sz w:val="36"/>
          <w:szCs w:val="36"/>
        </w:rPr>
        <w:t xml:space="preserve"> </w:t>
      </w:r>
      <w:r w:rsidR="003971F6">
        <w:rPr>
          <w:b/>
          <w:sz w:val="28"/>
          <w:szCs w:val="28"/>
        </w:rPr>
        <w:t>Literature</w:t>
      </w:r>
      <w:r w:rsidR="00AE5C02" w:rsidRPr="005749BA">
        <w:rPr>
          <w:b/>
          <w:sz w:val="32"/>
          <w:szCs w:val="32"/>
        </w:rPr>
        <w:t xml:space="preserve"> review:</w:t>
      </w:r>
    </w:p>
    <w:p w:rsidR="006035BB" w:rsidRDefault="00415A32" w:rsidP="003E2086">
      <w:pPr>
        <w:spacing w:before="100" w:beforeAutospacing="1" w:after="100" w:afterAutospacing="1" w:line="360" w:lineRule="auto"/>
      </w:pPr>
      <w:r w:rsidRPr="0096644E">
        <w:t>The myth of investment decisions especially stock selection active approach has long been discussed in academic and business circles and voluminous work has been done on the topic under research</w:t>
      </w:r>
      <w:r w:rsidR="0096644E" w:rsidRPr="0096644E">
        <w:t xml:space="preserve"> in the foreign world</w:t>
      </w:r>
      <w:r w:rsidRPr="0096644E">
        <w:t xml:space="preserve">.  A question which arises is that why I am interesting to do my research on this topic? The answer is that I will take into consideration the accounting measures like ROE and ROA as well along with market returns </w:t>
      </w:r>
      <w:r w:rsidR="006035BB">
        <w:t xml:space="preserve">for investigating its consistency. The very special feature of this research is that we are taking KSE </w:t>
      </w:r>
      <w:r w:rsidR="001E03F0">
        <w:t xml:space="preserve">based </w:t>
      </w:r>
      <w:r w:rsidR="006035BB">
        <w:t>companies to check its performance consistency</w:t>
      </w:r>
      <w:r w:rsidR="001E03F0">
        <w:t xml:space="preserve"> and momentum</w:t>
      </w:r>
      <w:r w:rsidR="006035BB">
        <w:t>.</w:t>
      </w:r>
    </w:p>
    <w:p w:rsidR="00415A32" w:rsidRDefault="00415A32" w:rsidP="003E2086">
      <w:pPr>
        <w:spacing w:before="100" w:beforeAutospacing="1" w:after="100" w:afterAutospacing="1" w:line="360" w:lineRule="auto"/>
      </w:pPr>
      <w:r w:rsidRPr="0096644E">
        <w:t>Thus we can say that</w:t>
      </w:r>
      <w:r w:rsidR="001E03F0">
        <w:t xml:space="preserve"> we are taking additional variables into consideration than previous studies.</w:t>
      </w:r>
      <w:r w:rsidRPr="0096644E">
        <w:t xml:space="preserve"> </w:t>
      </w:r>
      <w:r w:rsidR="000959AA">
        <w:t xml:space="preserve">This means </w:t>
      </w:r>
      <w:r w:rsidRPr="0096644E">
        <w:t>scope of our study would be broader than that of the previous studies especially in the context of Karachi Stock Exchange</w:t>
      </w:r>
      <w:r w:rsidR="00126BDC">
        <w:t xml:space="preserve"> and Pakistani stocks</w:t>
      </w:r>
      <w:r w:rsidRPr="0096644E">
        <w:t>.</w:t>
      </w:r>
    </w:p>
    <w:p w:rsidR="0096644E" w:rsidRPr="0096644E" w:rsidRDefault="0096644E" w:rsidP="003E2086">
      <w:pPr>
        <w:spacing w:before="100" w:beforeAutospacing="1" w:after="100" w:afterAutospacing="1" w:line="360" w:lineRule="auto"/>
      </w:pPr>
      <w:r w:rsidRPr="0096644E">
        <w:t>A brief detail of the previous work is as follow.</w:t>
      </w:r>
    </w:p>
    <w:p w:rsidR="0096644E" w:rsidRPr="0096644E" w:rsidRDefault="0096644E" w:rsidP="003E2086">
      <w:pPr>
        <w:spacing w:before="100" w:beforeAutospacing="1" w:after="100" w:afterAutospacing="1" w:line="360" w:lineRule="auto"/>
      </w:pPr>
      <w:r w:rsidRPr="0096644E">
        <w:t xml:space="preserve"> First of all Latane, Tuttle and Jones found that there is a consistent spread in the performance of upper and lower quartile stocks.</w:t>
      </w:r>
    </w:p>
    <w:p w:rsidR="002B2D32" w:rsidRDefault="0096644E" w:rsidP="003E2086">
      <w:pPr>
        <w:spacing w:before="100" w:beforeAutospacing="1" w:after="100" w:afterAutospacing="1" w:line="360" w:lineRule="auto"/>
      </w:pPr>
      <w:r w:rsidRPr="0096644E">
        <w:t xml:space="preserve"> (Security analysis and portfolio management, 2nd edition New York: Ronald Press, 1975)</w:t>
      </w:r>
    </w:p>
    <w:p w:rsidR="0096644E" w:rsidRPr="0096644E" w:rsidRDefault="002B2D32" w:rsidP="003E2086">
      <w:pPr>
        <w:spacing w:before="100" w:beforeAutospacing="1" w:after="100" w:afterAutospacing="1" w:line="360" w:lineRule="auto"/>
      </w:pPr>
      <w:r>
        <w:t xml:space="preserve">Charles </w:t>
      </w:r>
      <w:r w:rsidR="00FB3052">
        <w:t xml:space="preserve">P.Jones </w:t>
      </w:r>
      <w:r>
        <w:t xml:space="preserve">and </w:t>
      </w:r>
      <w:r w:rsidR="00FB3052">
        <w:t>Jack W</w:t>
      </w:r>
      <w:r>
        <w:t>. Wilson</w:t>
      </w:r>
      <w:r w:rsidR="001A475A">
        <w:t xml:space="preserve"> (1989)</w:t>
      </w:r>
      <w:r>
        <w:t xml:space="preserve"> </w:t>
      </w:r>
      <w:r w:rsidR="00907B16">
        <w:t>conducted a</w:t>
      </w:r>
      <w:r w:rsidR="001A475A">
        <w:t xml:space="preserve"> study using stock prices data (1885 to 1989) </w:t>
      </w:r>
      <w:r w:rsidR="00907B16">
        <w:t>to analyze volatility in the prices of stocks. They revealed that there was no increase in the volatility of stock prices of the winners and losers. However consistency in cross prices</w:t>
      </w:r>
      <w:r w:rsidR="00907B16" w:rsidRPr="00907B16">
        <w:t xml:space="preserve"> </w:t>
      </w:r>
      <w:r w:rsidR="00907B16">
        <w:t xml:space="preserve">volatility was revealed. </w:t>
      </w:r>
      <w:r w:rsidR="00354565">
        <w:t xml:space="preserve">This </w:t>
      </w:r>
      <w:r w:rsidR="00417EE5">
        <w:t>study</w:t>
      </w:r>
      <w:r w:rsidR="00354565">
        <w:t xml:space="preserve"> also </w:t>
      </w:r>
      <w:r w:rsidR="00417EE5">
        <w:t>confirmed that the top quartile companies were consistently good performers.</w:t>
      </w:r>
    </w:p>
    <w:p w:rsidR="0096644E" w:rsidRPr="0096644E" w:rsidRDefault="0096644E" w:rsidP="003E2086">
      <w:pPr>
        <w:spacing w:before="100" w:beforeAutospacing="1" w:after="100" w:afterAutospacing="1" w:line="360" w:lineRule="auto"/>
      </w:pPr>
      <w:r w:rsidRPr="0096644E">
        <w:t>In May-June,1992 “Financial Analysts Journal “volume 48 published a research study of Richard W.McEnally and Rebecca B.Todd for the period 1946 to 1989 with the name “Cross sectional variation in common stock returns”</w:t>
      </w:r>
    </w:p>
    <w:p w:rsidR="0096644E" w:rsidRPr="0096644E" w:rsidRDefault="0096644E" w:rsidP="003E2086">
      <w:pPr>
        <w:spacing w:before="100" w:beforeAutospacing="1" w:after="100" w:afterAutospacing="1" w:line="360" w:lineRule="auto"/>
      </w:pPr>
      <w:r w:rsidRPr="0096644E">
        <w:lastRenderedPageBreak/>
        <w:t>This study revealed that “investors who confined stock selection to the highest quartile would have avoided losing years and even the bad years showed only modest losses. Conversely the bottom quartile results were negative 55% of the time”</w:t>
      </w:r>
    </w:p>
    <w:p w:rsidR="0096644E" w:rsidRPr="0096644E" w:rsidRDefault="0096644E" w:rsidP="003E2086">
      <w:pPr>
        <w:spacing w:before="100" w:beforeAutospacing="1" w:after="100" w:afterAutospacing="1" w:line="360" w:lineRule="auto"/>
      </w:pPr>
      <w:r w:rsidRPr="0096644E">
        <w:t xml:space="preserve">Jagadeesh and Titman (1993) used post 1940 data from New York stock exchange and American stock exchange and conducted a study which revealed that a zero cost momentum approach of buying past winners and selling past losers generates significant average profits. </w:t>
      </w:r>
    </w:p>
    <w:p w:rsidR="0096644E" w:rsidRPr="0096644E" w:rsidRDefault="0096644E" w:rsidP="003E2086">
      <w:pPr>
        <w:spacing w:before="100" w:beforeAutospacing="1" w:after="100" w:afterAutospacing="1" w:line="360" w:lineRule="auto"/>
      </w:pPr>
      <w:r w:rsidRPr="0096644E">
        <w:t>Vein, Blume, Easley, and O’Hara (1994) argued that traders can obtain valuable information about stock returns by observing past price and past trading volume.</w:t>
      </w:r>
    </w:p>
    <w:p w:rsidR="0096644E" w:rsidRPr="0096644E" w:rsidRDefault="0096644E" w:rsidP="003E2086">
      <w:pPr>
        <w:spacing w:before="100" w:beforeAutospacing="1" w:after="100" w:afterAutospacing="1" w:line="360" w:lineRule="auto"/>
      </w:pPr>
      <w:r w:rsidRPr="0096644E">
        <w:t xml:space="preserve"> Rouwenhorst (1998) revealed significant momentum returns from a sample of 12 European countries and his 1999 paper confirmed the existence of momentum strategies in emerging markets.</w:t>
      </w:r>
    </w:p>
    <w:p w:rsidR="0096644E" w:rsidRPr="0096644E" w:rsidRDefault="0096644E" w:rsidP="003E2086">
      <w:pPr>
        <w:spacing w:before="100" w:beforeAutospacing="1" w:after="100" w:afterAutospacing="1" w:line="360" w:lineRule="auto"/>
      </w:pPr>
      <w:hyperlink r:id="rId7" w:anchor="b5" w:tooltip="Link to bibliographic citation" w:history="1">
        <w:r w:rsidRPr="0096644E">
          <w:t>Conrad and Kaul (1998)</w:t>
        </w:r>
      </w:hyperlink>
      <w:r w:rsidRPr="0096644E">
        <w:t xml:space="preserve"> argue that the profitability of momentum strategy is due to cross-sectional variation in expected returns rather than to predictable time-series variation in security returns. They show that the momentum strategy's average profits reflect the result of buying high-mean-return securities and selling low-mean-return securities.</w:t>
      </w:r>
    </w:p>
    <w:p w:rsidR="0096644E" w:rsidRPr="0096644E" w:rsidRDefault="0096644E" w:rsidP="003E2086">
      <w:pPr>
        <w:spacing w:before="100" w:beforeAutospacing="1" w:after="100" w:afterAutospacing="1" w:line="360" w:lineRule="auto"/>
      </w:pPr>
      <w:hyperlink r:id="rId8" w:anchor="b1" w:tooltip="Link to bibliographic citation" w:history="1">
        <w:r w:rsidRPr="0096644E">
          <w:t>Barberis, Shleifer, and Vishny (1998)</w:t>
        </w:r>
      </w:hyperlink>
      <w:r w:rsidRPr="0096644E">
        <w:t xml:space="preserve">, </w:t>
      </w:r>
      <w:hyperlink r:id="rId9" w:anchor="b6" w:tooltip="Link to bibliographic citation" w:history="1">
        <w:r w:rsidRPr="0096644E">
          <w:t>Daniel, Hirshleifer, and Subrahmanyam (1998)</w:t>
        </w:r>
      </w:hyperlink>
      <w:r w:rsidRPr="0096644E">
        <w:t xml:space="preserve">, and </w:t>
      </w:r>
      <w:hyperlink r:id="rId10" w:anchor="b13" w:tooltip="Link to bibliographic citation" w:history="1">
        <w:r w:rsidRPr="0096644E">
          <w:t>Hong and Stein (1999)</w:t>
        </w:r>
      </w:hyperlink>
      <w:r w:rsidRPr="0096644E">
        <w:t xml:space="preserve"> present theoretical models of investor behavior that suggest price momentum is consistent with biases in the way investors interpret imperfect information</w:t>
      </w:r>
    </w:p>
    <w:p w:rsidR="0096644E" w:rsidRPr="0096644E" w:rsidRDefault="0096644E" w:rsidP="003E2086">
      <w:pPr>
        <w:spacing w:before="100" w:beforeAutospacing="1" w:after="100" w:afterAutospacing="1" w:line="360" w:lineRule="auto"/>
      </w:pPr>
      <w:r w:rsidRPr="0096644E">
        <w:t>Chan, Hameed, and Tong (2000) reported significant evidence of momentum profits based on 23 stock market indices</w:t>
      </w:r>
    </w:p>
    <w:p w:rsidR="0096644E" w:rsidRPr="0096644E" w:rsidRDefault="0096644E" w:rsidP="003E2086">
      <w:pPr>
        <w:spacing w:before="100" w:beforeAutospacing="1" w:after="100" w:afterAutospacing="1" w:line="360" w:lineRule="auto"/>
      </w:pPr>
      <w:r w:rsidRPr="0096644E">
        <w:t>Chordia and Shivakumar (2000) investigate the influence of macro</w:t>
      </w:r>
      <w:r w:rsidR="002C39B6">
        <w:t xml:space="preserve"> </w:t>
      </w:r>
      <w:r w:rsidRPr="0096644E">
        <w:t xml:space="preserve">economy on momentum and report that momentum strategies perform well during periods in which the macroeconomic state is </w:t>
      </w:r>
      <w:r w:rsidR="0098316A" w:rsidRPr="0096644E">
        <w:t>favorable</w:t>
      </w:r>
      <w:r w:rsidRPr="0096644E">
        <w:t>, while it does not during recessions.</w:t>
      </w:r>
    </w:p>
    <w:p w:rsidR="0096644E" w:rsidRPr="0096644E" w:rsidRDefault="0096644E" w:rsidP="003E2086">
      <w:pPr>
        <w:spacing w:before="100" w:beforeAutospacing="1" w:after="100" w:afterAutospacing="1" w:line="360" w:lineRule="auto"/>
      </w:pPr>
      <w:r w:rsidRPr="0096644E">
        <w:t>Hameed and Kusnadi (2002) revealed significant momentum profits from Asian markets</w:t>
      </w:r>
    </w:p>
    <w:p w:rsidR="0096644E" w:rsidRPr="0096644E" w:rsidRDefault="0096644E" w:rsidP="003E2086">
      <w:pPr>
        <w:autoSpaceDE w:val="0"/>
        <w:autoSpaceDN w:val="0"/>
        <w:adjustRightInd w:val="0"/>
        <w:spacing w:line="360" w:lineRule="auto"/>
      </w:pPr>
      <w:r w:rsidRPr="0096644E">
        <w:lastRenderedPageBreak/>
        <w:t xml:space="preserve">In 2003 a study was conducted by Brad Barber, Reuven Lehavy, Brett Trueman and Maureen Me Nichols revealed that in the years of 2000 and 2001 the low priority stocks according to the analysts showed an average annual return of 13% and highly recommended shares according to the stocks analysts performed poorly with an average return of 7%. </w:t>
      </w:r>
    </w:p>
    <w:p w:rsidR="0096644E" w:rsidRPr="0096644E" w:rsidRDefault="0096644E" w:rsidP="003E2086">
      <w:pPr>
        <w:spacing w:before="100" w:beforeAutospacing="1" w:after="100" w:afterAutospacing="1" w:line="360" w:lineRule="auto"/>
      </w:pPr>
      <w:r w:rsidRPr="0096644E">
        <w:t>Fama and French (1996), using the three-factor model, fail to explain the abnormal returns and concluded that momentum remains a puzzle requiring further investigation</w:t>
      </w:r>
    </w:p>
    <w:p w:rsidR="0096644E" w:rsidRPr="0096644E" w:rsidRDefault="0096644E" w:rsidP="003E2086">
      <w:pPr>
        <w:autoSpaceDE w:val="0"/>
        <w:autoSpaceDN w:val="0"/>
        <w:adjustRightInd w:val="0"/>
        <w:spacing w:line="360" w:lineRule="auto"/>
      </w:pPr>
      <w:r w:rsidRPr="0096644E">
        <w:t xml:space="preserve"> </w:t>
      </w:r>
      <w:r w:rsidR="006A567C" w:rsidRPr="0096644E">
        <w:t>Menkhoff</w:t>
      </w:r>
      <w:r w:rsidRPr="0096644E">
        <w:t xml:space="preserve"> and Schmidt (2005) describe momentum traders as the least risk-averse professionals, going aggressively with the trend.</w:t>
      </w:r>
    </w:p>
    <w:p w:rsidR="0096644E" w:rsidRPr="0096644E" w:rsidRDefault="0096644E" w:rsidP="003E2086">
      <w:pPr>
        <w:spacing w:before="100" w:beforeAutospacing="1" w:after="100" w:afterAutospacing="1" w:line="360" w:lineRule="auto"/>
        <w:ind w:left="360"/>
      </w:pPr>
      <w:r w:rsidRPr="0096644E">
        <w:t>Michael J. Cooper, Roberto C. Gutierrez JR., and Allaudeen Hameed in their research study “</w:t>
      </w:r>
      <w:smartTag w:uri="urn:schemas-microsoft-com:office:smarttags" w:element="place">
        <w:smartTag w:uri="urn:schemas-microsoft-com:office:smarttags" w:element="PlaceName">
          <w:r w:rsidRPr="0096644E">
            <w:t>Market</w:t>
          </w:r>
        </w:smartTag>
        <w:r w:rsidRPr="0096644E">
          <w:t xml:space="preserve"> </w:t>
        </w:r>
        <w:smartTag w:uri="urn:schemas-microsoft-com:office:smarttags" w:element="PlaceType">
          <w:r w:rsidRPr="0096644E">
            <w:t>States</w:t>
          </w:r>
        </w:smartTag>
      </w:smartTag>
      <w:r w:rsidRPr="0096644E">
        <w:t xml:space="preserve"> and Momentum” took data from NYSE and AMEX stocks from January 1926 to December 1995 and concluded that the profits to momentum strategies depend critically on the state of the market. A six-month momentum portfolio is profitable only following periods of market gains (UP market states). They also found that momentum profits increase as the lagged market return increases. However, at high levels of lagged market returns, the profits diminish but are not eliminated</w:t>
      </w:r>
    </w:p>
    <w:p w:rsidR="00415A32" w:rsidRDefault="00415A32" w:rsidP="003E2086">
      <w:pPr>
        <w:spacing w:before="100" w:beforeAutospacing="1" w:after="100" w:afterAutospacing="1" w:line="360" w:lineRule="auto"/>
        <w:rPr>
          <w:b/>
          <w:sz w:val="28"/>
          <w:szCs w:val="28"/>
        </w:rPr>
      </w:pPr>
    </w:p>
    <w:p w:rsidR="00415A32" w:rsidRPr="00CD14D7" w:rsidRDefault="00415A32" w:rsidP="003E2086">
      <w:pPr>
        <w:spacing w:before="100" w:beforeAutospacing="1" w:after="100" w:afterAutospacing="1" w:line="360" w:lineRule="auto"/>
        <w:rPr>
          <w:b/>
          <w:sz w:val="28"/>
          <w:szCs w:val="28"/>
        </w:rPr>
      </w:pPr>
    </w:p>
    <w:p w:rsidR="002C39B6" w:rsidRDefault="002C39B6" w:rsidP="003E2086">
      <w:pPr>
        <w:spacing w:before="100" w:beforeAutospacing="1" w:after="100" w:afterAutospacing="1" w:line="360" w:lineRule="auto"/>
        <w:rPr>
          <w:sz w:val="32"/>
          <w:szCs w:val="32"/>
        </w:rPr>
      </w:pPr>
    </w:p>
    <w:p w:rsidR="002C39B6" w:rsidRDefault="002C39B6" w:rsidP="003E2086">
      <w:pPr>
        <w:spacing w:before="100" w:beforeAutospacing="1" w:after="100" w:afterAutospacing="1" w:line="360" w:lineRule="auto"/>
        <w:rPr>
          <w:sz w:val="32"/>
          <w:szCs w:val="32"/>
        </w:rPr>
      </w:pPr>
    </w:p>
    <w:p w:rsidR="002C39B6" w:rsidRDefault="002C39B6" w:rsidP="003E2086">
      <w:pPr>
        <w:spacing w:before="100" w:beforeAutospacing="1" w:after="100" w:afterAutospacing="1" w:line="360" w:lineRule="auto"/>
        <w:rPr>
          <w:sz w:val="32"/>
          <w:szCs w:val="32"/>
        </w:rPr>
      </w:pPr>
    </w:p>
    <w:p w:rsidR="002C39B6" w:rsidRDefault="002C39B6" w:rsidP="003E2086">
      <w:pPr>
        <w:spacing w:before="100" w:beforeAutospacing="1" w:after="100" w:afterAutospacing="1" w:line="360" w:lineRule="auto"/>
        <w:rPr>
          <w:sz w:val="32"/>
          <w:szCs w:val="32"/>
        </w:rPr>
      </w:pPr>
    </w:p>
    <w:p w:rsidR="002C39B6" w:rsidRDefault="002C39B6" w:rsidP="003E2086">
      <w:pPr>
        <w:spacing w:before="100" w:beforeAutospacing="1" w:after="100" w:afterAutospacing="1" w:line="360" w:lineRule="auto"/>
        <w:rPr>
          <w:sz w:val="32"/>
          <w:szCs w:val="32"/>
        </w:rPr>
      </w:pPr>
    </w:p>
    <w:p w:rsidR="002C39B6" w:rsidRPr="00AF66CE" w:rsidRDefault="002C39B6" w:rsidP="003E2086">
      <w:pPr>
        <w:spacing w:before="100" w:beforeAutospacing="1" w:after="100" w:afterAutospacing="1" w:line="360" w:lineRule="auto"/>
        <w:rPr>
          <w:sz w:val="36"/>
          <w:szCs w:val="36"/>
        </w:rPr>
      </w:pPr>
      <w:r w:rsidRPr="00DF1008">
        <w:rPr>
          <w:sz w:val="36"/>
          <w:szCs w:val="36"/>
        </w:rPr>
        <w:lastRenderedPageBreak/>
        <w:t xml:space="preserve">Chapter </w:t>
      </w:r>
      <w:r w:rsidR="004136EB" w:rsidRPr="00DF1008">
        <w:rPr>
          <w:sz w:val="36"/>
          <w:szCs w:val="36"/>
        </w:rPr>
        <w:t xml:space="preserve">03 </w:t>
      </w:r>
      <w:r w:rsidR="004136EB">
        <w:rPr>
          <w:sz w:val="36"/>
          <w:szCs w:val="36"/>
        </w:rPr>
        <w:t>Methodology</w:t>
      </w:r>
    </w:p>
    <w:p w:rsidR="002C39B6" w:rsidRDefault="002C39B6" w:rsidP="003E2086">
      <w:pPr>
        <w:spacing w:before="100" w:beforeAutospacing="1" w:after="100" w:afterAutospacing="1" w:line="360" w:lineRule="auto"/>
        <w:rPr>
          <w:b/>
          <w:sz w:val="28"/>
          <w:szCs w:val="28"/>
        </w:rPr>
      </w:pPr>
      <w:r>
        <w:rPr>
          <w:b/>
          <w:sz w:val="28"/>
          <w:szCs w:val="28"/>
        </w:rPr>
        <w:t>Sample:</w:t>
      </w:r>
    </w:p>
    <w:p w:rsidR="00F01BDA" w:rsidRDefault="00B874B5" w:rsidP="003E2086">
      <w:pPr>
        <w:spacing w:before="100" w:beforeAutospacing="1" w:after="100" w:afterAutospacing="1" w:line="360" w:lineRule="auto"/>
      </w:pPr>
      <w:r w:rsidRPr="00DF0554">
        <w:t xml:space="preserve">The importance of the </w:t>
      </w:r>
      <w:r w:rsidR="00DF0554">
        <w:t>representative</w:t>
      </w:r>
      <w:r w:rsidR="00DF0554" w:rsidRPr="00DF0554">
        <w:t>ness</w:t>
      </w:r>
      <w:r w:rsidRPr="00DF0554">
        <w:t xml:space="preserve"> of the sample can never be ignored in any statistical analysis, therefore keeping this thing in mind this study is taking 72 </w:t>
      </w:r>
      <w:r>
        <w:t xml:space="preserve">listed </w:t>
      </w:r>
      <w:r w:rsidR="002C39B6">
        <w:t xml:space="preserve">companies of </w:t>
      </w:r>
      <w:smartTag w:uri="urn:schemas-microsoft-com:office:smarttags" w:element="City">
        <w:r w:rsidR="002C39B6">
          <w:t>Karachi</w:t>
        </w:r>
      </w:smartTag>
      <w:r w:rsidR="002C39B6">
        <w:t xml:space="preserve"> stock exchange</w:t>
      </w:r>
      <w:r w:rsidR="0012163B">
        <w:t xml:space="preserve"> 100 I</w:t>
      </w:r>
      <w:r>
        <w:t>ndex</w:t>
      </w:r>
      <w:r w:rsidR="001C74E7">
        <w:t xml:space="preserve"> a very much important</w:t>
      </w:r>
      <w:r w:rsidR="003543C6">
        <w:t xml:space="preserve"> index of the country and</w:t>
      </w:r>
      <w:r w:rsidR="001C74E7">
        <w:t xml:space="preserve"> a true indicator of economic activity</w:t>
      </w:r>
      <w:r w:rsidR="004D4E59">
        <w:t xml:space="preserve"> in </w:t>
      </w:r>
      <w:smartTag w:uri="urn:schemas-microsoft-com:office:smarttags" w:element="country-region">
        <w:smartTag w:uri="urn:schemas-microsoft-com:office:smarttags" w:element="place">
          <w:r w:rsidR="004D4E59">
            <w:t>Pakistan</w:t>
          </w:r>
        </w:smartTag>
      </w:smartTag>
      <w:r w:rsidR="002C39B6">
        <w:t xml:space="preserve">. </w:t>
      </w:r>
      <w:r w:rsidR="0096422D">
        <w:t>It must be noted that this is the KSE 100 index as per Feb. 23</w:t>
      </w:r>
      <w:r w:rsidR="0096422D" w:rsidRPr="0096422D">
        <w:rPr>
          <w:vertAlign w:val="superscript"/>
        </w:rPr>
        <w:t>rd</w:t>
      </w:r>
      <w:r w:rsidR="0096422D">
        <w:t>, 20011</w:t>
      </w:r>
      <w:r w:rsidR="00865057">
        <w:t>.</w:t>
      </w:r>
    </w:p>
    <w:p w:rsidR="00F01BDA" w:rsidRDefault="00F01BDA" w:rsidP="003E2086">
      <w:pPr>
        <w:spacing w:before="100" w:beforeAutospacing="1" w:after="100" w:afterAutospacing="1" w:line="360" w:lineRule="auto"/>
      </w:pPr>
      <w:r>
        <w:t>The rest of 28 companies were screened and dropped out because</w:t>
      </w:r>
      <w:r w:rsidR="00AC5003">
        <w:t xml:space="preserve"> of</w:t>
      </w:r>
    </w:p>
    <w:p w:rsidR="00F01BDA" w:rsidRDefault="00F01BDA" w:rsidP="003E2086">
      <w:pPr>
        <w:numPr>
          <w:ilvl w:val="0"/>
          <w:numId w:val="16"/>
        </w:numPr>
        <w:spacing w:before="100" w:beforeAutospacing="1" w:after="100" w:afterAutospacing="1" w:line="360" w:lineRule="auto"/>
      </w:pPr>
      <w:r w:rsidRPr="00F01BDA">
        <w:t xml:space="preserve">Merger later from the </w:t>
      </w:r>
      <w:r>
        <w:t xml:space="preserve">start of the </w:t>
      </w:r>
      <w:r w:rsidRPr="00F01BDA">
        <w:t>data period</w:t>
      </w:r>
      <w:r w:rsidR="00CC6690">
        <w:t xml:space="preserve"> (2001)</w:t>
      </w:r>
    </w:p>
    <w:p w:rsidR="00F01BDA" w:rsidRDefault="00F01BDA" w:rsidP="003E2086">
      <w:pPr>
        <w:spacing w:before="100" w:beforeAutospacing="1" w:after="100" w:afterAutospacing="1" w:line="360" w:lineRule="auto"/>
        <w:ind w:left="360"/>
      </w:pPr>
      <w:r>
        <w:t xml:space="preserve">For example </w:t>
      </w:r>
      <w:r w:rsidR="00733CB6">
        <w:t>GlaxoSmithKline and</w:t>
      </w:r>
      <w:r>
        <w:t xml:space="preserve"> Habib Metro Bank</w:t>
      </w:r>
      <w:r w:rsidR="00CC6690">
        <w:t>’ merger took place after 2001.</w:t>
      </w:r>
    </w:p>
    <w:p w:rsidR="00733CB6" w:rsidRDefault="00733CB6" w:rsidP="003E2086">
      <w:pPr>
        <w:numPr>
          <w:ilvl w:val="0"/>
          <w:numId w:val="16"/>
        </w:numPr>
        <w:spacing w:before="100" w:beforeAutospacing="1" w:after="100" w:afterAutospacing="1" w:line="360" w:lineRule="auto"/>
      </w:pPr>
      <w:r>
        <w:t>Some of the companies started their operation later than the start of our data</w:t>
      </w:r>
    </w:p>
    <w:p w:rsidR="00CC6690" w:rsidRDefault="00CC6690" w:rsidP="003E2086">
      <w:pPr>
        <w:spacing w:before="100" w:beforeAutospacing="1" w:after="100" w:afterAutospacing="1" w:line="360" w:lineRule="auto"/>
      </w:pPr>
      <w:r>
        <w:t xml:space="preserve">      For example PICIC Growth Fund started its operation on June 25</w:t>
      </w:r>
      <w:r w:rsidRPr="00CC6690">
        <w:rPr>
          <w:vertAlign w:val="superscript"/>
        </w:rPr>
        <w:t>th</w:t>
      </w:r>
      <w:r w:rsidR="003E6034">
        <w:t xml:space="preserve">, 2004 under the </w:t>
      </w:r>
      <w:r w:rsidR="007E3757">
        <w:t xml:space="preserve">         </w:t>
      </w:r>
      <w:r w:rsidR="003E6034">
        <w:t>Companies Ordinance 1984.</w:t>
      </w:r>
    </w:p>
    <w:p w:rsidR="00AB4D26" w:rsidRDefault="00990C3F" w:rsidP="003E2086">
      <w:pPr>
        <w:spacing w:before="100" w:beforeAutospacing="1" w:after="100" w:afterAutospacing="1" w:line="360" w:lineRule="auto"/>
      </w:pPr>
      <w:r>
        <w:t xml:space="preserve">These were some of the reasons that the rest of 28 </w:t>
      </w:r>
      <w:r w:rsidR="00C1088A">
        <w:t>companies</w:t>
      </w:r>
      <w:r>
        <w:t xml:space="preserve"> could not qualify for being selecting in our sample.</w:t>
      </w:r>
    </w:p>
    <w:p w:rsidR="00032443" w:rsidRDefault="00032443" w:rsidP="003E2086">
      <w:pPr>
        <w:spacing w:before="100" w:beforeAutospacing="1" w:after="100" w:afterAutospacing="1" w:line="360" w:lineRule="auto"/>
      </w:pPr>
    </w:p>
    <w:p w:rsidR="00032443" w:rsidRDefault="00032443" w:rsidP="003E2086">
      <w:pPr>
        <w:spacing w:before="100" w:beforeAutospacing="1" w:after="100" w:afterAutospacing="1" w:line="360" w:lineRule="auto"/>
      </w:pPr>
    </w:p>
    <w:p w:rsidR="00032443" w:rsidRDefault="00032443" w:rsidP="003E2086">
      <w:pPr>
        <w:spacing w:before="100" w:beforeAutospacing="1" w:after="100" w:afterAutospacing="1" w:line="360" w:lineRule="auto"/>
      </w:pPr>
    </w:p>
    <w:p w:rsidR="00032443" w:rsidRDefault="00032443" w:rsidP="003E2086">
      <w:pPr>
        <w:spacing w:before="100" w:beforeAutospacing="1" w:after="100" w:afterAutospacing="1" w:line="360" w:lineRule="auto"/>
      </w:pPr>
    </w:p>
    <w:p w:rsidR="00E60A6A" w:rsidRDefault="00E60A6A" w:rsidP="003E2086">
      <w:pPr>
        <w:spacing w:before="100" w:beforeAutospacing="1" w:after="100" w:afterAutospacing="1" w:line="360" w:lineRule="auto"/>
      </w:pPr>
    </w:p>
    <w:p w:rsidR="00E60A6A" w:rsidRPr="00032443" w:rsidRDefault="00E60A6A" w:rsidP="003E2086">
      <w:pPr>
        <w:spacing w:before="100" w:beforeAutospacing="1" w:after="100" w:afterAutospacing="1" w:line="360" w:lineRule="auto"/>
      </w:pPr>
    </w:p>
    <w:p w:rsidR="0086283E" w:rsidRPr="00CD14D7" w:rsidRDefault="0086283E" w:rsidP="003E2086">
      <w:pPr>
        <w:spacing w:before="100" w:beforeAutospacing="1" w:after="100" w:afterAutospacing="1" w:line="360" w:lineRule="auto"/>
        <w:rPr>
          <w:b/>
          <w:sz w:val="28"/>
          <w:szCs w:val="28"/>
        </w:rPr>
      </w:pPr>
      <w:r w:rsidRPr="00CD14D7">
        <w:rPr>
          <w:b/>
          <w:sz w:val="28"/>
          <w:szCs w:val="28"/>
        </w:rPr>
        <w:lastRenderedPageBreak/>
        <w:t>Theoretical frame work:</w:t>
      </w:r>
    </w:p>
    <w:p w:rsidR="0086283E" w:rsidRDefault="0086283E" w:rsidP="003E2086">
      <w:pPr>
        <w:spacing w:beforeAutospacing="1" w:after="100" w:afterAutospacing="1" w:line="360" w:lineRule="auto"/>
      </w:pPr>
      <w:r>
        <w:t xml:space="preserve">Our variables of interest would be </w:t>
      </w:r>
    </w:p>
    <w:p w:rsidR="0086283E" w:rsidRDefault="0086283E" w:rsidP="003E2086">
      <w:pPr>
        <w:pStyle w:val="ListParagraph"/>
        <w:numPr>
          <w:ilvl w:val="0"/>
          <w:numId w:val="5"/>
        </w:numPr>
        <w:spacing w:beforeAutospacing="1" w:after="100" w:afterAutospacing="1" w:line="360" w:lineRule="auto"/>
      </w:pPr>
      <w:r>
        <w:t xml:space="preserve">Stocks prices </w:t>
      </w:r>
    </w:p>
    <w:p w:rsidR="0086283E" w:rsidRDefault="0086283E" w:rsidP="003E2086">
      <w:pPr>
        <w:pStyle w:val="ListParagraph"/>
        <w:numPr>
          <w:ilvl w:val="0"/>
          <w:numId w:val="5"/>
        </w:numPr>
        <w:spacing w:beforeAutospacing="1" w:after="100" w:afterAutospacing="1" w:line="360" w:lineRule="auto"/>
      </w:pPr>
      <w:r>
        <w:t>Stock prices would result in tran</w:t>
      </w:r>
      <w:r w:rsidR="00570D21">
        <w:t>sformed variable “</w:t>
      </w:r>
      <w:r w:rsidR="00251832">
        <w:t>Market Return</w:t>
      </w:r>
      <w:r>
        <w:t>”</w:t>
      </w:r>
    </w:p>
    <w:p w:rsidR="0086283E" w:rsidRDefault="0086283E" w:rsidP="003E2086">
      <w:pPr>
        <w:pStyle w:val="ListParagraph"/>
        <w:numPr>
          <w:ilvl w:val="0"/>
          <w:numId w:val="5"/>
        </w:numPr>
        <w:spacing w:beforeAutospacing="1" w:after="100" w:afterAutospacing="1" w:line="360" w:lineRule="auto"/>
      </w:pPr>
      <w:r>
        <w:t>Net income available to common stockholders</w:t>
      </w:r>
    </w:p>
    <w:p w:rsidR="0086283E" w:rsidRDefault="0086283E" w:rsidP="003E2086">
      <w:pPr>
        <w:pStyle w:val="ListParagraph"/>
        <w:numPr>
          <w:ilvl w:val="0"/>
          <w:numId w:val="5"/>
        </w:numPr>
        <w:spacing w:beforeAutospacing="1" w:after="100" w:afterAutospacing="1" w:line="360" w:lineRule="auto"/>
      </w:pPr>
      <w:r>
        <w:t>Common equity</w:t>
      </w:r>
    </w:p>
    <w:p w:rsidR="0086283E" w:rsidRDefault="0086283E" w:rsidP="003E2086">
      <w:pPr>
        <w:pStyle w:val="ListParagraph"/>
        <w:numPr>
          <w:ilvl w:val="0"/>
          <w:numId w:val="5"/>
        </w:numPr>
        <w:spacing w:beforeAutospacing="1" w:after="100" w:afterAutospacing="1" w:line="360" w:lineRule="auto"/>
      </w:pPr>
      <w:r>
        <w:t>Total assets</w:t>
      </w:r>
    </w:p>
    <w:p w:rsidR="0086283E" w:rsidRDefault="0086283E" w:rsidP="003E2086">
      <w:pPr>
        <w:pStyle w:val="ListParagraph"/>
        <w:numPr>
          <w:ilvl w:val="0"/>
          <w:numId w:val="5"/>
        </w:numPr>
        <w:spacing w:beforeAutospacing="1" w:after="100" w:afterAutospacing="1" w:line="360" w:lineRule="auto"/>
      </w:pPr>
      <w:r>
        <w:t>Then using net income and total assets would give us transformed variable of ROA</w:t>
      </w:r>
    </w:p>
    <w:p w:rsidR="0086283E" w:rsidRDefault="0086283E" w:rsidP="003E2086">
      <w:pPr>
        <w:pStyle w:val="ListParagraph"/>
        <w:numPr>
          <w:ilvl w:val="0"/>
          <w:numId w:val="5"/>
        </w:numPr>
        <w:spacing w:beforeAutospacing="1" w:after="100" w:afterAutospacing="1" w:line="360" w:lineRule="auto"/>
      </w:pPr>
      <w:r>
        <w:t>While net income and common equity would result in another transformed variable of ROE.</w:t>
      </w:r>
    </w:p>
    <w:p w:rsidR="0086283E" w:rsidRDefault="0086283E" w:rsidP="003E2086">
      <w:pPr>
        <w:pStyle w:val="ListParagraph"/>
        <w:numPr>
          <w:ilvl w:val="0"/>
          <w:numId w:val="5"/>
        </w:numPr>
        <w:spacing w:beforeAutospacing="1" w:after="100" w:afterAutospacing="1" w:line="360" w:lineRule="auto"/>
      </w:pPr>
      <w:r>
        <w:t>Time</w:t>
      </w:r>
    </w:p>
    <w:p w:rsidR="00DE20EA" w:rsidRDefault="00DE20EA" w:rsidP="003E2086">
      <w:pPr>
        <w:pStyle w:val="ListParagraph"/>
        <w:spacing w:before="100" w:beforeAutospacing="1" w:after="100" w:afterAutospacing="1" w:line="360" w:lineRule="auto"/>
        <w:ind w:left="0"/>
      </w:pPr>
    </w:p>
    <w:p w:rsidR="002C39B6" w:rsidRDefault="002C39B6" w:rsidP="003E2086">
      <w:pPr>
        <w:pStyle w:val="ListParagraph"/>
        <w:spacing w:before="100" w:beforeAutospacing="1" w:after="100" w:afterAutospacing="1" w:line="360" w:lineRule="auto"/>
        <w:ind w:left="0"/>
      </w:pPr>
      <w:r>
        <w:t xml:space="preserve">First of all we would find the </w:t>
      </w:r>
      <w:r w:rsidR="00EB20F6">
        <w:t xml:space="preserve">annual </w:t>
      </w:r>
      <w:r>
        <w:t>stock returns</w:t>
      </w:r>
      <w:r w:rsidR="00EB20F6">
        <w:t xml:space="preserve"> with the help of capital gain formula</w:t>
      </w:r>
    </w:p>
    <w:p w:rsidR="002C39B6" w:rsidRDefault="002C39B6" w:rsidP="003E2086">
      <w:pPr>
        <w:pStyle w:val="ListParagraph"/>
        <w:spacing w:before="100" w:beforeAutospacing="1" w:after="100" w:afterAutospacing="1" w:line="360" w:lineRule="auto"/>
      </w:pPr>
    </w:p>
    <w:p w:rsidR="002C39B6" w:rsidRPr="002B1411" w:rsidRDefault="002B1411" w:rsidP="003E2086">
      <w:pPr>
        <w:pStyle w:val="ListParagraph"/>
        <w:spacing w:before="100" w:beforeAutospacing="1" w:after="100" w:afterAutospacing="1" w:line="360" w:lineRule="auto"/>
      </w:pPr>
      <m:oMathPara>
        <m:oMath>
          <m:r>
            <w:rPr>
              <w:rFonts w:ascii="Cambria Math" w:hAnsi="Cambria Math"/>
            </w:rPr>
            <m:t>Market Stock Return=</m:t>
          </m:r>
          <m:f>
            <m:fPr>
              <m:ctrlPr>
                <w:rPr>
                  <w:rFonts w:ascii="Cambria Math" w:hAnsi="Cambria Math"/>
                  <w:i/>
                </w:rPr>
              </m:ctrlPr>
            </m:fPr>
            <m:num>
              <m:r>
                <w:rPr>
                  <w:rFonts w:ascii="Cambria Math" w:hAnsi="Cambria Math"/>
                </w:rPr>
                <m:t>Current Stock Price-Previous Stock Price</m:t>
              </m:r>
            </m:num>
            <m:den>
              <m:r>
                <w:rPr>
                  <w:rFonts w:ascii="Cambria Math" w:hAnsi="Cambria Math"/>
                </w:rPr>
                <m:t>Previous Stock Price</m:t>
              </m:r>
            </m:den>
          </m:f>
        </m:oMath>
      </m:oMathPara>
    </w:p>
    <w:p w:rsidR="00A563F8" w:rsidRDefault="00A563F8" w:rsidP="00A563F8">
      <w:pPr>
        <w:pStyle w:val="ListParagraph"/>
        <w:spacing w:before="100" w:beforeAutospacing="1" w:after="100" w:afterAutospacing="1" w:line="360" w:lineRule="auto"/>
        <w:ind w:left="0"/>
      </w:pPr>
    </w:p>
    <w:p w:rsidR="002C39B6" w:rsidRDefault="002C39B6" w:rsidP="00A563F8">
      <w:pPr>
        <w:pStyle w:val="ListParagraph"/>
        <w:spacing w:before="100" w:beforeAutospacing="1" w:after="100" w:afterAutospacing="1" w:line="360" w:lineRule="auto"/>
        <w:ind w:left="0"/>
      </w:pPr>
      <w:r>
        <w:t>In order to find out return on common equity (ROE) we use formula</w:t>
      </w:r>
    </w:p>
    <w:p w:rsidR="002C4339" w:rsidRDefault="002B1411" w:rsidP="002C4339">
      <w:pPr>
        <w:pStyle w:val="ListParagraph"/>
        <w:spacing w:before="100" w:beforeAutospacing="1" w:after="100" w:afterAutospacing="1" w:line="360" w:lineRule="auto"/>
      </w:pPr>
      <m:oMath>
        <m:r>
          <w:rPr>
            <w:rFonts w:ascii="Cambria Math" w:hAnsi="Century Schoolbook"/>
          </w:rPr>
          <m:t xml:space="preserve">              </m:t>
        </m:r>
        <m:r>
          <w:rPr>
            <w:rFonts w:ascii="Cambria Math" w:hAnsi="Cambria Math"/>
          </w:rPr>
          <m:t>ROE</m:t>
        </m:r>
        <m:r>
          <w:rPr>
            <w:rFonts w:ascii="Cambria Math" w:hAnsi="Century Schoolbook"/>
          </w:rPr>
          <m:t>=</m:t>
        </m:r>
        <m:r>
          <w:rPr>
            <w:rFonts w:ascii="Cambria Math" w:hAnsi="Cambria Math"/>
          </w:rPr>
          <m:t>Net</m:t>
        </m:r>
        <m:r>
          <w:rPr>
            <w:rFonts w:ascii="Cambria Math" w:hAnsi="Century Schoolbook"/>
          </w:rPr>
          <m:t xml:space="preserve"> </m:t>
        </m:r>
        <m:r>
          <w:rPr>
            <w:rFonts w:ascii="Cambria Math" w:hAnsi="Cambria Math"/>
          </w:rPr>
          <m:t>IncomeAvailable</m:t>
        </m:r>
        <m:r>
          <w:rPr>
            <w:rFonts w:ascii="Cambria Math" w:hAnsi="Century Schoolbook"/>
          </w:rPr>
          <m:t xml:space="preserve"> </m:t>
        </m:r>
        <m:r>
          <w:rPr>
            <w:rFonts w:ascii="Cambria Math" w:hAnsi="Cambria Math"/>
          </w:rPr>
          <m:t>To</m:t>
        </m:r>
        <m:r>
          <w:rPr>
            <w:rFonts w:ascii="Cambria Math" w:hAnsi="Century Schoolbook"/>
          </w:rPr>
          <m:t xml:space="preserve"> </m:t>
        </m:r>
        <m:r>
          <w:rPr>
            <w:rFonts w:ascii="Cambria Math" w:hAnsi="Cambria Math"/>
          </w:rPr>
          <m:t>Common</m:t>
        </m:r>
        <m:r>
          <m:rPr>
            <m:sty m:val="p"/>
          </m:rPr>
          <w:rPr>
            <w:rFonts w:ascii="Cambria Math" w:hAnsi="Century Schoolbook"/>
          </w:rPr>
          <m:t xml:space="preserve"> </m:t>
        </m:r>
        <m:r>
          <w:rPr>
            <w:rFonts w:ascii="Cambria Math" w:hAnsi="Cambria Math"/>
          </w:rPr>
          <m:t>Stock</m:t>
        </m:r>
        <m:r>
          <w:rPr>
            <w:rFonts w:ascii="Century Schoolbook" w:hAnsi="Cambria Math"/>
          </w:rPr>
          <m:t>h</m:t>
        </m:r>
        <m:r>
          <w:rPr>
            <w:rFonts w:ascii="Cambria Math" w:hAnsi="Cambria Math"/>
          </w:rPr>
          <m:t>olders</m:t>
        </m:r>
        <m:r>
          <w:rPr>
            <w:rFonts w:ascii="Cambria Math" w:hAnsi="Century Schoolbook"/>
          </w:rPr>
          <m:t>/</m:t>
        </m:r>
        <m:r>
          <w:rPr>
            <w:rFonts w:ascii="Cambria Math" w:hAnsi="Cambria Math"/>
          </w:rPr>
          <m:t>Common</m:t>
        </m:r>
        <m:r>
          <w:rPr>
            <w:rFonts w:ascii="Cambria Math" w:hAnsi="Century Schoolbook"/>
          </w:rPr>
          <m:t xml:space="preserve"> </m:t>
        </m:r>
        <m:r>
          <w:rPr>
            <w:rFonts w:ascii="Cambria Math" w:hAnsi="Cambria Math"/>
          </w:rPr>
          <m:t>Equity</m:t>
        </m:r>
      </m:oMath>
      <w:r w:rsidR="002C39B6">
        <w:t xml:space="preserve"> </w:t>
      </w:r>
    </w:p>
    <w:p w:rsidR="002C39B6" w:rsidRDefault="00C107CA" w:rsidP="002C4339">
      <w:pPr>
        <w:pStyle w:val="ListParagraph"/>
        <w:spacing w:before="100" w:beforeAutospacing="1" w:after="100" w:afterAutospacing="1" w:line="360" w:lineRule="auto"/>
        <w:ind w:left="0"/>
      </w:pPr>
      <w:r>
        <w:t>Net income’s</w:t>
      </w:r>
      <w:r w:rsidR="008C48F6">
        <w:t xml:space="preserve"> figure</w:t>
      </w:r>
      <w:r w:rsidR="0002658F">
        <w:t xml:space="preserve"> for all the companies were</w:t>
      </w:r>
      <w:r w:rsidR="00F57533">
        <w:t xml:space="preserve"> taken</w:t>
      </w:r>
      <w:r w:rsidR="002C39B6">
        <w:t xml:space="preserve"> from companies’ income statement and common equity figures would be taken from the balance sheet of the respective companies.</w:t>
      </w:r>
    </w:p>
    <w:p w:rsidR="002C39B6" w:rsidRDefault="002C39B6" w:rsidP="003E2086">
      <w:pPr>
        <w:spacing w:before="100" w:beforeAutospacing="1" w:after="100" w:afterAutospacing="1" w:line="360" w:lineRule="auto"/>
      </w:pPr>
      <w:r>
        <w:t xml:space="preserve">For finding Return on Net worth (RONW) or ROA we would use formula </w:t>
      </w:r>
    </w:p>
    <w:p w:rsidR="002C39B6" w:rsidRPr="002B1411" w:rsidRDefault="002B1411" w:rsidP="003E2086">
      <w:pPr>
        <w:spacing w:before="100" w:beforeAutospacing="1" w:after="100" w:afterAutospacing="1" w:line="360" w:lineRule="auto"/>
      </w:pPr>
      <m:oMathPara>
        <m:oMath>
          <m:r>
            <w:rPr>
              <w:rFonts w:ascii="Cambria Math" w:hAnsi="Cambria Math"/>
            </w:rPr>
            <m:t>ROA or RONW=Net</m:t>
          </m:r>
          <m:r>
            <m:rPr>
              <m:sty m:val="p"/>
            </m:rPr>
            <w:rPr>
              <w:rFonts w:ascii="Cambria Math" w:hAnsi="Cambria Math"/>
            </w:rPr>
            <m:t xml:space="preserve"> </m:t>
          </m:r>
          <m:r>
            <w:rPr>
              <w:rFonts w:ascii="Cambria Math" w:hAnsi="Cambria Math"/>
            </w:rPr>
            <m:t>Income/Total Assets</m:t>
          </m:r>
        </m:oMath>
      </m:oMathPara>
    </w:p>
    <w:p w:rsidR="002C39B6" w:rsidRDefault="002C39B6" w:rsidP="003E2086">
      <w:pPr>
        <w:spacing w:before="100" w:beforeAutospacing="1" w:after="100" w:afterAutospacing="1" w:line="360" w:lineRule="auto"/>
      </w:pPr>
      <w:r>
        <w:t>N</w:t>
      </w:r>
      <w:r w:rsidR="00402BEB">
        <w:t>et income and total assets figure</w:t>
      </w:r>
      <w:r>
        <w:t xml:space="preserve"> </w:t>
      </w:r>
      <w:r w:rsidR="0002658F">
        <w:t>were taken</w:t>
      </w:r>
      <w:r>
        <w:t xml:space="preserve"> from the annual report of the respective companies.</w:t>
      </w:r>
    </w:p>
    <w:p w:rsidR="004375A7" w:rsidRDefault="004375A7" w:rsidP="003E2086">
      <w:pPr>
        <w:spacing w:before="100" w:beforeAutospacing="1" w:after="100" w:afterAutospacing="1" w:line="360" w:lineRule="auto"/>
        <w:rPr>
          <w:b/>
          <w:sz w:val="28"/>
          <w:szCs w:val="28"/>
        </w:rPr>
      </w:pPr>
    </w:p>
    <w:p w:rsidR="004375A7" w:rsidRDefault="004375A7" w:rsidP="003E2086">
      <w:pPr>
        <w:spacing w:before="100" w:beforeAutospacing="1" w:after="100" w:afterAutospacing="1" w:line="360" w:lineRule="auto"/>
        <w:rPr>
          <w:b/>
          <w:sz w:val="28"/>
          <w:szCs w:val="28"/>
        </w:rPr>
      </w:pPr>
    </w:p>
    <w:p w:rsidR="002C39B6" w:rsidRPr="00F979BC" w:rsidRDefault="002C39B6" w:rsidP="003E2086">
      <w:pPr>
        <w:spacing w:before="100" w:beforeAutospacing="1" w:after="100" w:afterAutospacing="1" w:line="360" w:lineRule="auto"/>
        <w:rPr>
          <w:b/>
          <w:sz w:val="28"/>
          <w:szCs w:val="28"/>
        </w:rPr>
      </w:pPr>
      <w:r w:rsidRPr="00F979BC">
        <w:rPr>
          <w:b/>
          <w:sz w:val="28"/>
          <w:szCs w:val="28"/>
        </w:rPr>
        <w:t>Statistical tools:</w:t>
      </w:r>
    </w:p>
    <w:p w:rsidR="002C39B6" w:rsidRDefault="002C39B6" w:rsidP="003E2086">
      <w:pPr>
        <w:spacing w:before="100" w:beforeAutospacing="1" w:after="100" w:afterAutospacing="1" w:line="360" w:lineRule="auto"/>
      </w:pPr>
      <w:r>
        <w:t>In order to check the cross sectional variation in common stocks return we would use IQR</w:t>
      </w:r>
    </w:p>
    <w:p w:rsidR="002C39B6" w:rsidRPr="002B1411" w:rsidRDefault="002B1411" w:rsidP="003E2086">
      <w:pPr>
        <w:spacing w:before="100" w:beforeAutospacing="1" w:after="100" w:afterAutospacing="1" w:line="360" w:lineRule="auto"/>
      </w:pPr>
      <m:oMathPara>
        <m:oMath>
          <m:r>
            <w:rPr>
              <w:rFonts w:ascii="Cambria Math" w:hAnsi="Cambria Math"/>
            </w:rPr>
            <m:t xml:space="preserve">                Q1=Size Of </m:t>
          </m:r>
          <m:d>
            <m:dPr>
              <m:ctrlPr>
                <w:rPr>
                  <w:rFonts w:ascii="Cambria Math" w:hAnsi="Cambria Math"/>
                  <w:i/>
                </w:rPr>
              </m:ctrlPr>
            </m:dPr>
            <m:e>
              <m:f>
                <m:fPr>
                  <m:ctrlPr>
                    <w:rPr>
                      <w:rFonts w:ascii="Cambria Math" w:hAnsi="Cambria Math"/>
                      <w:i/>
                    </w:rPr>
                  </m:ctrlPr>
                </m:fPr>
                <m:num>
                  <m:r>
                    <w:rPr>
                      <w:rFonts w:ascii="Cambria Math" w:hAnsi="Cambria Math"/>
                    </w:rPr>
                    <m:t>Nth</m:t>
                  </m:r>
                </m:num>
                <m:den>
                  <m:r>
                    <w:rPr>
                      <w:rFonts w:ascii="Cambria Math" w:hAnsi="Cambria Math"/>
                    </w:rPr>
                    <m:t>4</m:t>
                  </m:r>
                </m:den>
              </m:f>
            </m:e>
          </m:d>
          <m:r>
            <w:rPr>
              <w:rFonts w:ascii="Cambria Math" w:hAnsi="Cambria Math"/>
            </w:rPr>
            <m:t xml:space="preserve">Item                                                                         Q2=Size Of </m:t>
          </m:r>
          <m:d>
            <m:dPr>
              <m:ctrlPr>
                <w:rPr>
                  <w:rFonts w:ascii="Cambria Math" w:hAnsi="Cambria Math"/>
                  <w:i/>
                </w:rPr>
              </m:ctrlPr>
            </m:dPr>
            <m:e>
              <m:f>
                <m:fPr>
                  <m:ctrlPr>
                    <w:rPr>
                      <w:rFonts w:ascii="Cambria Math" w:hAnsi="Cambria Math"/>
                      <w:i/>
                    </w:rPr>
                  </m:ctrlPr>
                </m:fPr>
                <m:num>
                  <m:r>
                    <w:rPr>
                      <w:rFonts w:ascii="Cambria Math" w:hAnsi="Cambria Math"/>
                    </w:rPr>
                    <m:t>2Nth</m:t>
                  </m:r>
                </m:num>
                <m:den>
                  <m:r>
                    <w:rPr>
                      <w:rFonts w:ascii="Cambria Math" w:hAnsi="Cambria Math"/>
                    </w:rPr>
                    <m:t>4</m:t>
                  </m:r>
                </m:den>
              </m:f>
            </m:e>
          </m:d>
          <m:r>
            <w:rPr>
              <w:rFonts w:ascii="Cambria Math" w:hAnsi="Cambria Math"/>
            </w:rPr>
            <m:t>Item</m:t>
          </m:r>
        </m:oMath>
      </m:oMathPara>
    </w:p>
    <w:p w:rsidR="002C39B6" w:rsidRPr="002B1411" w:rsidRDefault="002B1411" w:rsidP="003E2086">
      <w:pPr>
        <w:spacing w:before="100" w:beforeAutospacing="1" w:after="100" w:afterAutospacing="1" w:line="360" w:lineRule="auto"/>
      </w:pPr>
      <m:oMathPara>
        <m:oMath>
          <m:r>
            <w:rPr>
              <w:rFonts w:ascii="Cambria Math" w:hAnsi="Cambria Math"/>
            </w:rPr>
            <m:t xml:space="preserve">                       Q3=Size Of </m:t>
          </m:r>
          <m:d>
            <m:dPr>
              <m:ctrlPr>
                <w:rPr>
                  <w:rFonts w:ascii="Cambria Math" w:hAnsi="Cambria Math"/>
                  <w:i/>
                </w:rPr>
              </m:ctrlPr>
            </m:dPr>
            <m:e>
              <m:f>
                <m:fPr>
                  <m:ctrlPr>
                    <w:rPr>
                      <w:rFonts w:ascii="Cambria Math" w:hAnsi="Cambria Math"/>
                      <w:i/>
                    </w:rPr>
                  </m:ctrlPr>
                </m:fPr>
                <m:num>
                  <m:r>
                    <w:rPr>
                      <w:rFonts w:ascii="Cambria Math" w:hAnsi="Cambria Math"/>
                    </w:rPr>
                    <m:t>3Nth</m:t>
                  </m:r>
                </m:num>
                <m:den>
                  <m:r>
                    <w:rPr>
                      <w:rFonts w:ascii="Cambria Math" w:hAnsi="Cambria Math"/>
                    </w:rPr>
                    <m:t>4</m:t>
                  </m:r>
                </m:den>
              </m:f>
            </m:e>
          </m:d>
          <m:r>
            <w:rPr>
              <w:rFonts w:ascii="Cambria Math" w:hAnsi="Cambria Math"/>
            </w:rPr>
            <m:t>Item</m:t>
          </m:r>
        </m:oMath>
      </m:oMathPara>
    </w:p>
    <w:p w:rsidR="002C39B6" w:rsidRPr="002B1411" w:rsidRDefault="002B1411" w:rsidP="003E2086">
      <w:pPr>
        <w:spacing w:before="100" w:beforeAutospacing="1" w:after="100" w:afterAutospacing="1" w:line="360" w:lineRule="auto"/>
      </w:pPr>
      <m:oMathPara>
        <m:oMath>
          <m:r>
            <w:rPr>
              <w:rFonts w:ascii="Cambria Math" w:hAnsi="Cambria Math"/>
            </w:rPr>
            <m:t>IQR=Q3-Q1</m:t>
          </m:r>
        </m:oMath>
      </m:oMathPara>
    </w:p>
    <w:p w:rsidR="002C39B6" w:rsidRDefault="002C39B6" w:rsidP="003E2086">
      <w:pPr>
        <w:spacing w:before="100" w:beforeAutospacing="1" w:after="100" w:afterAutospacing="1" w:line="360" w:lineRule="auto"/>
      </w:pPr>
      <w:r>
        <w:t xml:space="preserve"> (Where N is the total frequency or total number of the companies in the representative sample</w:t>
      </w:r>
      <w:r w:rsidR="00570D21">
        <w:t xml:space="preserve"> which is 72)</w:t>
      </w:r>
    </w:p>
    <w:p w:rsidR="00306461" w:rsidRDefault="00306461" w:rsidP="003E2086">
      <w:pPr>
        <w:spacing w:before="100" w:beforeAutospacing="1" w:after="100" w:afterAutospacing="1" w:line="360" w:lineRule="auto"/>
      </w:pPr>
      <w:r>
        <w:t>Arithmetic mean = Sum of values / No of values</w:t>
      </w:r>
      <w:r w:rsidR="003D071F" w:rsidRPr="003D071F">
        <w:rPr>
          <w:b/>
          <w:bCs/>
        </w:rPr>
        <w:t xml:space="preserve"> </w:t>
      </w:r>
    </w:p>
    <w:p w:rsidR="00AE5C02" w:rsidRDefault="00AE5C02" w:rsidP="003E2086">
      <w:pPr>
        <w:spacing w:before="100" w:beforeAutospacing="1" w:after="100" w:afterAutospacing="1" w:line="360" w:lineRule="auto"/>
        <w:rPr>
          <w:sz w:val="32"/>
          <w:szCs w:val="32"/>
        </w:rPr>
      </w:pPr>
      <w:r w:rsidRPr="00CD14D7">
        <w:rPr>
          <w:b/>
          <w:sz w:val="28"/>
          <w:szCs w:val="28"/>
        </w:rPr>
        <w:t>Objective of this research study:</w:t>
      </w:r>
    </w:p>
    <w:p w:rsidR="00AE5C02" w:rsidRDefault="00AE5C02" w:rsidP="003E2086">
      <w:pPr>
        <w:pStyle w:val="ListParagraph"/>
        <w:numPr>
          <w:ilvl w:val="0"/>
          <w:numId w:val="3"/>
        </w:numPr>
        <w:spacing w:before="100" w:beforeAutospacing="1" w:after="100" w:afterAutospacing="1" w:line="360" w:lineRule="auto"/>
      </w:pPr>
      <w:r>
        <w:t>Whether the spread between upper and lower quartile returns in Pakistani stocks is some</w:t>
      </w:r>
      <w:r w:rsidR="00F8460C">
        <w:t xml:space="preserve"> </w:t>
      </w:r>
      <w:r>
        <w:t>what consistent or not?</w:t>
      </w:r>
    </w:p>
    <w:p w:rsidR="00082292" w:rsidRDefault="00082292" w:rsidP="003E2086">
      <w:pPr>
        <w:pStyle w:val="ListParagraph"/>
        <w:numPr>
          <w:ilvl w:val="0"/>
          <w:numId w:val="3"/>
        </w:numPr>
        <w:spacing w:before="100" w:beforeAutospacing="1" w:after="100" w:afterAutospacing="1" w:line="360" w:lineRule="auto"/>
      </w:pPr>
      <w:r>
        <w:t>From KSE point of view this study would establish a bottom line for investors and researchers.</w:t>
      </w:r>
    </w:p>
    <w:p w:rsidR="00AE5C02" w:rsidRDefault="00AE5C02" w:rsidP="003E2086">
      <w:pPr>
        <w:pStyle w:val="ListParagraph"/>
        <w:numPr>
          <w:ilvl w:val="0"/>
          <w:numId w:val="3"/>
        </w:numPr>
        <w:spacing w:before="100" w:beforeAutospacing="1" w:after="100" w:afterAutospacing="1" w:line="360" w:lineRule="auto"/>
      </w:pPr>
      <w:r>
        <w:t xml:space="preserve">  This study would help active managers in making their security selections.</w:t>
      </w:r>
    </w:p>
    <w:p w:rsidR="00C27C95" w:rsidRPr="00767762" w:rsidRDefault="00082292" w:rsidP="003E2086">
      <w:pPr>
        <w:pStyle w:val="ListParagraph"/>
        <w:numPr>
          <w:ilvl w:val="0"/>
          <w:numId w:val="3"/>
        </w:numPr>
        <w:spacing w:before="100" w:beforeAutospacing="1" w:after="100" w:afterAutospacing="1" w:line="360" w:lineRule="auto"/>
      </w:pPr>
      <w:r>
        <w:t xml:space="preserve">To know about the </w:t>
      </w:r>
      <w:r w:rsidR="004E3E87">
        <w:t>stock</w:t>
      </w:r>
      <w:r w:rsidR="00411505">
        <w:t>s</w:t>
      </w:r>
      <w:r w:rsidR="004E3E87">
        <w:t>’</w:t>
      </w:r>
      <w:r>
        <w:t xml:space="preserve"> performance consistency and momentum in </w:t>
      </w:r>
      <w:smartTag w:uri="urn:schemas-microsoft-com:office:smarttags" w:element="place">
        <w:smartTag w:uri="urn:schemas-microsoft-com:office:smarttags" w:element="country-region">
          <w:r>
            <w:t>Pakistan</w:t>
          </w:r>
        </w:smartTag>
      </w:smartTag>
      <w:r>
        <w:t>.</w:t>
      </w:r>
    </w:p>
    <w:p w:rsidR="00AE5C02" w:rsidRPr="00BB6387" w:rsidRDefault="00C27C95" w:rsidP="003E2086">
      <w:pPr>
        <w:spacing w:before="100" w:beforeAutospacing="1" w:after="100" w:afterAutospacing="1" w:line="360" w:lineRule="auto"/>
        <w:rPr>
          <w:b/>
          <w:sz w:val="28"/>
          <w:szCs w:val="28"/>
        </w:rPr>
      </w:pPr>
      <w:r w:rsidRPr="00BB6387">
        <w:rPr>
          <w:b/>
          <w:sz w:val="28"/>
          <w:szCs w:val="28"/>
        </w:rPr>
        <w:t xml:space="preserve"> Research</w:t>
      </w:r>
      <w:r w:rsidR="00AE5C02" w:rsidRPr="00BB6387">
        <w:rPr>
          <w:b/>
          <w:sz w:val="28"/>
          <w:szCs w:val="28"/>
        </w:rPr>
        <w:t xml:space="preserve"> scope:</w:t>
      </w:r>
    </w:p>
    <w:p w:rsidR="00121BE3" w:rsidRDefault="00AE5C02" w:rsidP="003E2086">
      <w:pPr>
        <w:spacing w:before="100" w:beforeAutospacing="1" w:after="100" w:afterAutospacing="1" w:line="360" w:lineRule="auto"/>
      </w:pPr>
      <w:r w:rsidRPr="00B83F61">
        <w:t xml:space="preserve">The results </w:t>
      </w:r>
      <w:r>
        <w:t xml:space="preserve">of the study would be generalized to all KSE listed </w:t>
      </w:r>
      <w:r w:rsidR="009A41CB">
        <w:t>companies</w:t>
      </w:r>
      <w:r>
        <w:t xml:space="preserve"> and other stocks markets of the developing economies like our country.</w:t>
      </w:r>
    </w:p>
    <w:p w:rsidR="00121BE3" w:rsidRDefault="00121BE3" w:rsidP="003E2086">
      <w:pPr>
        <w:spacing w:before="100" w:beforeAutospacing="1" w:after="100" w:afterAutospacing="1" w:line="360" w:lineRule="auto"/>
      </w:pPr>
    </w:p>
    <w:p w:rsidR="00D53245" w:rsidRPr="00121BE3" w:rsidRDefault="00D53245" w:rsidP="003E2086">
      <w:pPr>
        <w:spacing w:before="100" w:beforeAutospacing="1" w:after="100" w:afterAutospacing="1" w:line="360" w:lineRule="auto"/>
      </w:pPr>
      <w:r w:rsidRPr="00D53245">
        <w:rPr>
          <w:b/>
          <w:sz w:val="28"/>
          <w:szCs w:val="28"/>
        </w:rPr>
        <w:t xml:space="preserve">Data </w:t>
      </w:r>
      <w:r w:rsidR="00696628" w:rsidRPr="00D53245">
        <w:rPr>
          <w:b/>
          <w:sz w:val="28"/>
          <w:szCs w:val="28"/>
        </w:rPr>
        <w:t>Type</w:t>
      </w:r>
      <w:r>
        <w:rPr>
          <w:b/>
          <w:sz w:val="28"/>
          <w:szCs w:val="28"/>
        </w:rPr>
        <w:t>:</w:t>
      </w:r>
    </w:p>
    <w:p w:rsidR="00D53245" w:rsidRDefault="00D53245" w:rsidP="003E2086">
      <w:pPr>
        <w:spacing w:before="100" w:beforeAutospacing="1" w:after="100" w:afterAutospacing="1" w:line="360" w:lineRule="auto"/>
        <w:rPr>
          <w:b/>
          <w:sz w:val="28"/>
          <w:szCs w:val="28"/>
        </w:rPr>
      </w:pPr>
      <w:r w:rsidRPr="00D53245">
        <w:t xml:space="preserve"> </w:t>
      </w:r>
      <w:r>
        <w:t>For collecting our data we would solely rely on the secondary data</w:t>
      </w:r>
    </w:p>
    <w:p w:rsidR="00AE5C02" w:rsidRPr="00CD14D7" w:rsidRDefault="00AE5C02" w:rsidP="003E2086">
      <w:pPr>
        <w:spacing w:before="100" w:beforeAutospacing="1" w:after="100" w:afterAutospacing="1" w:line="360" w:lineRule="auto"/>
        <w:rPr>
          <w:b/>
          <w:sz w:val="28"/>
          <w:szCs w:val="28"/>
        </w:rPr>
      </w:pPr>
      <w:r w:rsidRPr="00CD14D7">
        <w:rPr>
          <w:b/>
          <w:sz w:val="28"/>
          <w:szCs w:val="28"/>
        </w:rPr>
        <w:t xml:space="preserve">Data </w:t>
      </w:r>
      <w:r w:rsidR="003A50AD" w:rsidRPr="00CD14D7">
        <w:rPr>
          <w:b/>
          <w:sz w:val="28"/>
          <w:szCs w:val="28"/>
        </w:rPr>
        <w:t>Collection</w:t>
      </w:r>
      <w:r w:rsidRPr="00CD14D7">
        <w:rPr>
          <w:b/>
          <w:sz w:val="28"/>
          <w:szCs w:val="28"/>
        </w:rPr>
        <w:t>:</w:t>
      </w:r>
    </w:p>
    <w:p w:rsidR="00AE5C02" w:rsidRDefault="00AE5C02" w:rsidP="003E2086">
      <w:pPr>
        <w:pStyle w:val="ListParagraph"/>
        <w:spacing w:beforeAutospacing="1" w:after="100" w:afterAutospacing="1" w:line="360" w:lineRule="auto"/>
      </w:pPr>
      <w:r>
        <w:t>.</w:t>
      </w:r>
    </w:p>
    <w:p w:rsidR="00AE5C02" w:rsidRDefault="00AE5C02" w:rsidP="003E2086">
      <w:pPr>
        <w:pStyle w:val="ListParagraph"/>
        <w:numPr>
          <w:ilvl w:val="0"/>
          <w:numId w:val="6"/>
        </w:numPr>
        <w:spacing w:beforeAutospacing="1" w:after="100" w:afterAutospacing="1" w:line="360" w:lineRule="auto"/>
      </w:pPr>
      <w:r>
        <w:t xml:space="preserve">Stock prices data would be collected from </w:t>
      </w:r>
      <w:hyperlink r:id="rId11" w:history="1">
        <w:r w:rsidRPr="00743ED6">
          <w:rPr>
            <w:rStyle w:val="Hyperlink"/>
            <w:b/>
          </w:rPr>
          <w:t>www.brecorder.com</w:t>
        </w:r>
      </w:hyperlink>
      <w:r>
        <w:rPr>
          <w:b/>
          <w:u w:val="single"/>
        </w:rPr>
        <w:t xml:space="preserve"> </w:t>
      </w:r>
      <w:r>
        <w:t xml:space="preserve"> from the year 200</w:t>
      </w:r>
      <w:r w:rsidR="009449C8">
        <w:t>1</w:t>
      </w:r>
      <w:r>
        <w:t xml:space="preserve"> to 2010.  </w:t>
      </w:r>
    </w:p>
    <w:p w:rsidR="00AE5C02" w:rsidRDefault="00AE5C02" w:rsidP="003E2086">
      <w:pPr>
        <w:pStyle w:val="ListParagraph"/>
        <w:numPr>
          <w:ilvl w:val="0"/>
          <w:numId w:val="6"/>
        </w:numPr>
        <w:spacing w:beforeAutospacing="1" w:after="100" w:afterAutospacing="1" w:line="360" w:lineRule="auto"/>
      </w:pPr>
      <w:smartTag w:uri="urn:schemas-microsoft-com:office:smarttags" w:element="place">
        <w:smartTag w:uri="urn:schemas-microsoft-com:office:smarttags" w:element="City">
          <w:r>
            <w:t>Karachi</w:t>
          </w:r>
        </w:smartTag>
      </w:smartTag>
      <w:r>
        <w:t xml:space="preserve"> stock exchange website </w:t>
      </w:r>
      <w:hyperlink r:id="rId12" w:history="1">
        <w:r w:rsidRPr="00743ED6">
          <w:rPr>
            <w:rStyle w:val="Hyperlink"/>
            <w:b/>
          </w:rPr>
          <w:t>www.kse.com</w:t>
        </w:r>
      </w:hyperlink>
    </w:p>
    <w:p w:rsidR="00AE5C02" w:rsidRDefault="00AE5C02" w:rsidP="003E2086">
      <w:pPr>
        <w:pStyle w:val="ListParagraph"/>
        <w:numPr>
          <w:ilvl w:val="0"/>
          <w:numId w:val="6"/>
        </w:numPr>
        <w:spacing w:beforeAutospacing="1" w:after="100" w:afterAutospacing="1" w:line="360" w:lineRule="auto"/>
      </w:pPr>
      <w:r>
        <w:t>For net income available to common stockholders we would use annual reports of the respective companies.</w:t>
      </w:r>
    </w:p>
    <w:p w:rsidR="00AE5C02" w:rsidRPr="00A97AFD" w:rsidRDefault="00AE5C02" w:rsidP="003E2086">
      <w:pPr>
        <w:pStyle w:val="ListParagraph"/>
        <w:numPr>
          <w:ilvl w:val="0"/>
          <w:numId w:val="6"/>
        </w:numPr>
        <w:spacing w:beforeAutospacing="1" w:after="100" w:afterAutospacing="1" w:line="360" w:lineRule="auto"/>
        <w:jc w:val="both"/>
      </w:pPr>
      <w:r>
        <w:t xml:space="preserve">Total assets and common equity figures can also be taken from the annual reports </w:t>
      </w:r>
      <w:r w:rsidRPr="00A97AFD">
        <w:t>of the respective companies.</w:t>
      </w:r>
    </w:p>
    <w:p w:rsidR="00A97AFD" w:rsidRDefault="00A97AFD" w:rsidP="003E2086">
      <w:pPr>
        <w:pStyle w:val="ListParagraph"/>
        <w:spacing w:beforeAutospacing="1" w:after="100" w:afterAutospacing="1" w:line="360" w:lineRule="auto"/>
        <w:ind w:left="0"/>
        <w:rPr>
          <w:b/>
          <w:sz w:val="28"/>
          <w:szCs w:val="28"/>
        </w:rPr>
      </w:pPr>
      <w:r w:rsidRPr="00A97AFD">
        <w:rPr>
          <w:b/>
          <w:sz w:val="28"/>
          <w:szCs w:val="28"/>
        </w:rPr>
        <w:t>Data Period</w:t>
      </w:r>
      <w:r>
        <w:rPr>
          <w:b/>
          <w:sz w:val="28"/>
          <w:szCs w:val="28"/>
        </w:rPr>
        <w:t>:</w:t>
      </w:r>
    </w:p>
    <w:p w:rsidR="00A97AFD" w:rsidRPr="00A97AFD" w:rsidRDefault="00A97AFD" w:rsidP="003E2086">
      <w:pPr>
        <w:pStyle w:val="ListParagraph"/>
        <w:spacing w:beforeAutospacing="1" w:after="100" w:afterAutospacing="1" w:line="360" w:lineRule="auto"/>
        <w:ind w:left="0"/>
        <w:jc w:val="both"/>
      </w:pPr>
      <w:r w:rsidRPr="00A97AFD">
        <w:t xml:space="preserve">The data period for checking consistency in </w:t>
      </w:r>
      <w:r w:rsidR="00E34C9E">
        <w:t xml:space="preserve">Market Returns, </w:t>
      </w:r>
      <w:r w:rsidRPr="00A97AFD">
        <w:t>ROA and ROE would be from 2001 to 2010.</w:t>
      </w:r>
    </w:p>
    <w:p w:rsidR="00C95A01" w:rsidRDefault="00C95A01" w:rsidP="003E2086">
      <w:pPr>
        <w:spacing w:before="100" w:beforeAutospacing="1" w:after="100" w:afterAutospacing="1" w:line="360" w:lineRule="auto"/>
      </w:pPr>
    </w:p>
    <w:p w:rsidR="00C95A01" w:rsidRDefault="00C95A01" w:rsidP="003E2086">
      <w:pPr>
        <w:spacing w:before="100" w:beforeAutospacing="1" w:after="100" w:afterAutospacing="1" w:line="360" w:lineRule="auto"/>
      </w:pPr>
    </w:p>
    <w:p w:rsidR="00C95A01" w:rsidRDefault="00C95A01" w:rsidP="003E2086">
      <w:pPr>
        <w:spacing w:before="100" w:beforeAutospacing="1" w:after="100" w:afterAutospacing="1" w:line="360" w:lineRule="auto"/>
      </w:pPr>
    </w:p>
    <w:p w:rsidR="00C95A01" w:rsidRDefault="00C95A01" w:rsidP="003E2086">
      <w:pPr>
        <w:spacing w:before="100" w:beforeAutospacing="1" w:after="100" w:afterAutospacing="1" w:line="360" w:lineRule="auto"/>
      </w:pPr>
    </w:p>
    <w:p w:rsidR="00925611" w:rsidRPr="00E039B6" w:rsidRDefault="00101ACC" w:rsidP="003E2086">
      <w:pPr>
        <w:spacing w:before="100" w:beforeAutospacing="1" w:after="100" w:afterAutospacing="1" w:line="360" w:lineRule="auto"/>
      </w:pPr>
      <w:r>
        <w:t>.</w:t>
      </w:r>
    </w:p>
    <w:p w:rsidR="00984737" w:rsidRDefault="00984737" w:rsidP="003E2086">
      <w:pPr>
        <w:spacing w:before="100" w:beforeAutospacing="1" w:after="100" w:afterAutospacing="1" w:line="360" w:lineRule="auto"/>
        <w:rPr>
          <w:b/>
          <w:sz w:val="28"/>
          <w:szCs w:val="28"/>
        </w:rPr>
      </w:pPr>
    </w:p>
    <w:p w:rsidR="00984737" w:rsidRDefault="00984737" w:rsidP="003E2086">
      <w:pPr>
        <w:spacing w:before="100" w:beforeAutospacing="1" w:after="100" w:afterAutospacing="1" w:line="360" w:lineRule="auto"/>
        <w:rPr>
          <w:b/>
          <w:sz w:val="28"/>
          <w:szCs w:val="28"/>
        </w:rPr>
      </w:pPr>
    </w:p>
    <w:p w:rsidR="00984737" w:rsidRDefault="00984737" w:rsidP="003E2086">
      <w:pPr>
        <w:spacing w:before="100" w:beforeAutospacing="1" w:after="100" w:afterAutospacing="1" w:line="360" w:lineRule="auto"/>
        <w:rPr>
          <w:b/>
          <w:sz w:val="28"/>
          <w:szCs w:val="28"/>
        </w:rPr>
      </w:pPr>
    </w:p>
    <w:p w:rsidR="001F591D" w:rsidRPr="003A37D3" w:rsidRDefault="00DF4517" w:rsidP="003E2086">
      <w:pPr>
        <w:spacing w:before="100" w:beforeAutospacing="1" w:after="100" w:afterAutospacing="1" w:line="360" w:lineRule="auto"/>
        <w:rPr>
          <w:b/>
          <w:sz w:val="36"/>
          <w:szCs w:val="36"/>
        </w:rPr>
      </w:pPr>
      <w:r w:rsidRPr="003A37D3">
        <w:rPr>
          <w:b/>
          <w:sz w:val="36"/>
          <w:szCs w:val="36"/>
        </w:rPr>
        <w:t xml:space="preserve">Chapter </w:t>
      </w:r>
      <w:r w:rsidR="00661E20" w:rsidRPr="003A37D3">
        <w:rPr>
          <w:b/>
          <w:sz w:val="36"/>
          <w:szCs w:val="36"/>
        </w:rPr>
        <w:t xml:space="preserve">04 </w:t>
      </w:r>
      <w:r w:rsidR="00661E20">
        <w:rPr>
          <w:b/>
          <w:sz w:val="36"/>
          <w:szCs w:val="36"/>
        </w:rPr>
        <w:t>Data</w:t>
      </w:r>
      <w:r w:rsidRPr="003A37D3">
        <w:rPr>
          <w:b/>
          <w:sz w:val="32"/>
          <w:szCs w:val="32"/>
        </w:rPr>
        <w:t xml:space="preserve"> Analysis of Market Returns</w:t>
      </w:r>
    </w:p>
    <w:p w:rsidR="00C95A01" w:rsidRDefault="00C95A01" w:rsidP="003E2086">
      <w:pPr>
        <w:spacing w:before="100" w:beforeAutospacing="1" w:after="100" w:afterAutospacing="1" w:line="360" w:lineRule="auto"/>
        <w:rPr>
          <w:b/>
          <w:sz w:val="28"/>
          <w:szCs w:val="28"/>
        </w:rPr>
      </w:pPr>
      <w:r>
        <w:rPr>
          <w:b/>
          <w:sz w:val="28"/>
          <w:szCs w:val="28"/>
        </w:rPr>
        <w:t>Data Handling and procedure followed:</w:t>
      </w:r>
    </w:p>
    <w:p w:rsidR="00C95A01" w:rsidRDefault="00C95A01" w:rsidP="003E2086">
      <w:pPr>
        <w:spacing w:before="100" w:beforeAutospacing="1" w:after="100" w:afterAutospacing="1" w:line="360" w:lineRule="auto"/>
      </w:pPr>
      <w:r w:rsidRPr="00E039B6">
        <w:t xml:space="preserve">First of all </w:t>
      </w:r>
      <w:r>
        <w:t xml:space="preserve">stock returns of all the 72 companies sampled were </w:t>
      </w:r>
      <w:r w:rsidR="007C44AF">
        <w:t>taken</w:t>
      </w:r>
      <w:r w:rsidR="00A97CCD">
        <w:t xml:space="preserve"> </w:t>
      </w:r>
      <w:r>
        <w:t xml:space="preserve">from the KSE and </w:t>
      </w:r>
      <w:r w:rsidR="007A6319">
        <w:t xml:space="preserve">Business Recorder </w:t>
      </w:r>
      <w:r w:rsidR="008B6183">
        <w:t>websites. The</w:t>
      </w:r>
      <w:r>
        <w:t xml:space="preserve"> </w:t>
      </w:r>
      <w:r w:rsidR="008B6183">
        <w:t>market</w:t>
      </w:r>
      <w:r>
        <w:t xml:space="preserve"> returns for all the 72 companies from 2001 to 2010 were calculated in the following method.</w:t>
      </w:r>
    </w:p>
    <w:p w:rsidR="00C95A01" w:rsidRDefault="00C95A01" w:rsidP="003E2086">
      <w:pPr>
        <w:spacing w:before="100" w:beforeAutospacing="1" w:after="100" w:afterAutospacing="1" w:line="360" w:lineRule="auto"/>
      </w:pPr>
      <w:r>
        <w:t>For calculating market returns of 2001 we took the stock prices of January 1</w:t>
      </w:r>
      <w:r w:rsidRPr="00325307">
        <w:rPr>
          <w:vertAlign w:val="superscript"/>
        </w:rPr>
        <w:t>st</w:t>
      </w:r>
      <w:r w:rsidR="00064776">
        <w:t>, 2001</w:t>
      </w:r>
      <w:r>
        <w:t xml:space="preserve"> (previous stock price)</w:t>
      </w:r>
      <w:r w:rsidR="00064776">
        <w:t xml:space="preserve"> and December</w:t>
      </w:r>
      <w:r>
        <w:t xml:space="preserve"> 31</w:t>
      </w:r>
      <w:r w:rsidR="00064776" w:rsidRPr="00064776">
        <w:rPr>
          <w:vertAlign w:val="superscript"/>
        </w:rPr>
        <w:t>st</w:t>
      </w:r>
      <w:r w:rsidR="00064776">
        <w:t>, 2001</w:t>
      </w:r>
      <w:r>
        <w:t xml:space="preserve"> </w:t>
      </w:r>
      <w:r w:rsidR="00064776">
        <w:t xml:space="preserve">(current </w:t>
      </w:r>
      <w:r>
        <w:t>stock price) and used the capital gain formula.</w:t>
      </w:r>
    </w:p>
    <w:p w:rsidR="00C95A01" w:rsidRPr="002B1411" w:rsidRDefault="002B1411" w:rsidP="003E2086">
      <w:pPr>
        <w:spacing w:before="100" w:beforeAutospacing="1" w:after="100" w:afterAutospacing="1" w:line="360" w:lineRule="auto"/>
      </w:pPr>
      <m:oMathPara>
        <m:oMath>
          <m:r>
            <w:rPr>
              <w:rFonts w:ascii="Cambria Math" w:hAnsi="Cambria Math"/>
            </w:rPr>
            <m:t>Market Stock Return=</m:t>
          </m:r>
          <m:f>
            <m:fPr>
              <m:ctrlPr>
                <w:rPr>
                  <w:rFonts w:ascii="Cambria Math" w:hAnsi="Cambria Math"/>
                  <w:i/>
                </w:rPr>
              </m:ctrlPr>
            </m:fPr>
            <m:num>
              <m:r>
                <w:rPr>
                  <w:rFonts w:ascii="Cambria Math" w:hAnsi="Cambria Math"/>
                </w:rPr>
                <m:t>Current Stock Price-Previous Stock Price</m:t>
              </m:r>
            </m:num>
            <m:den>
              <m:r>
                <w:rPr>
                  <w:rFonts w:ascii="Cambria Math" w:hAnsi="Cambria Math"/>
                </w:rPr>
                <m:t>Previous Stock Price</m:t>
              </m:r>
            </m:den>
          </m:f>
        </m:oMath>
      </m:oMathPara>
    </w:p>
    <w:p w:rsidR="00C95A01" w:rsidRDefault="00C95A01" w:rsidP="003E2086">
      <w:pPr>
        <w:spacing w:before="100" w:beforeAutospacing="1" w:after="100" w:afterAutospacing="1" w:line="360" w:lineRule="auto"/>
      </w:pPr>
      <w:r>
        <w:t xml:space="preserve">Similarly the market returns for all the 72 companies were </w:t>
      </w:r>
      <w:r w:rsidR="000A2AA4">
        <w:t>calculated from</w:t>
      </w:r>
      <w:r>
        <w:t xml:space="preserve"> 2001 to 2010.</w:t>
      </w:r>
      <w:r w:rsidR="005229BE">
        <w:t xml:space="preserve"> Then</w:t>
      </w:r>
      <w:r>
        <w:t xml:space="preserve"> these 72 companies were arranged in the descending or</w:t>
      </w:r>
      <w:r w:rsidR="005229BE">
        <w:t xml:space="preserve">der of its market returns. </w:t>
      </w:r>
      <w:r w:rsidR="00883698">
        <w:t>According</w:t>
      </w:r>
      <w:r>
        <w:t xml:space="preserve"> to the quartile formula mentioned earlier in the statistical tools the top 18 companies with respect to their market returns were selected as winners and the lowest 18 companies were selected as losers. As the main focus of this study is to investigate the consistency and momentum in the winning performance of the winners and losing performance of the losers.</w:t>
      </w:r>
    </w:p>
    <w:p w:rsidR="00C95A01" w:rsidRDefault="00C95A01" w:rsidP="003E2086">
      <w:pPr>
        <w:spacing w:before="100" w:beforeAutospacing="1" w:after="100" w:afterAutospacing="1" w:line="360" w:lineRule="auto"/>
      </w:pPr>
      <w:r>
        <w:t xml:space="preserve">Now the further proceedings would be to take the top 18 winners in the year 2001 with respect to market returns and checking its winning momentum in the subsequent years. </w:t>
      </w:r>
    </w:p>
    <w:p w:rsidR="00B57D77" w:rsidRDefault="00B57D77" w:rsidP="003E2086">
      <w:pPr>
        <w:spacing w:before="100" w:beforeAutospacing="1" w:after="100" w:afterAutospacing="1" w:line="360" w:lineRule="auto"/>
      </w:pPr>
      <w:r>
        <w:t xml:space="preserve">But before going into </w:t>
      </w:r>
      <w:r w:rsidR="00CF2D63">
        <w:t>that detail</w:t>
      </w:r>
      <w:r>
        <w:t xml:space="preserve"> </w:t>
      </w:r>
      <w:r w:rsidR="00CF2D63">
        <w:t>let’s</w:t>
      </w:r>
      <w:r>
        <w:t xml:space="preserve"> have a look on table 4.1 which explains the variability in the market returns and share prices of winners.</w:t>
      </w:r>
    </w:p>
    <w:p w:rsidR="00C95A01" w:rsidRDefault="00C95A01" w:rsidP="003E2086">
      <w:pPr>
        <w:spacing w:before="100" w:beforeAutospacing="1" w:after="100" w:afterAutospacing="1" w:line="360" w:lineRule="auto"/>
      </w:pPr>
    </w:p>
    <w:p w:rsidR="00BF4CF7" w:rsidRDefault="00BF4CF7" w:rsidP="003E2086">
      <w:pPr>
        <w:spacing w:before="100" w:beforeAutospacing="1" w:after="100" w:afterAutospacing="1" w:line="360" w:lineRule="auto"/>
      </w:pPr>
    </w:p>
    <w:p w:rsidR="00BF4CF7" w:rsidRDefault="00BF4CF7" w:rsidP="003E2086">
      <w:pPr>
        <w:spacing w:before="100" w:beforeAutospacing="1" w:after="100" w:afterAutospacing="1" w:line="360" w:lineRule="auto"/>
      </w:pPr>
    </w:p>
    <w:p w:rsidR="00C963DD" w:rsidRDefault="00E475AF" w:rsidP="003E2086">
      <w:pPr>
        <w:spacing w:before="100" w:beforeAutospacing="1" w:after="100" w:afterAutospacing="1" w:line="360" w:lineRule="auto"/>
      </w:pPr>
      <w:r>
        <w:lastRenderedPageBreak/>
        <w:t>TABLE: 4.1</w:t>
      </w:r>
    </w:p>
    <w:tbl>
      <w:tblPr>
        <w:tblW w:w="8499" w:type="dxa"/>
        <w:tblInd w:w="93" w:type="dxa"/>
        <w:tblLook w:val="0000" w:firstRow="0" w:lastRow="0" w:firstColumn="0" w:lastColumn="0" w:noHBand="0" w:noVBand="0"/>
      </w:tblPr>
      <w:tblGrid>
        <w:gridCol w:w="1206"/>
        <w:gridCol w:w="1823"/>
        <w:gridCol w:w="2807"/>
        <w:gridCol w:w="2663"/>
      </w:tblGrid>
      <w:tr w:rsidR="00F05BC3">
        <w:trPr>
          <w:trHeight w:val="269"/>
        </w:trPr>
        <w:tc>
          <w:tcPr>
            <w:tcW w:w="1206" w:type="dxa"/>
            <w:tcBorders>
              <w:top w:val="single" w:sz="4" w:space="0" w:color="auto"/>
              <w:left w:val="single" w:sz="4" w:space="0" w:color="auto"/>
              <w:bottom w:val="single" w:sz="4" w:space="0" w:color="auto"/>
              <w:right w:val="single" w:sz="4" w:space="0" w:color="auto"/>
            </w:tcBorders>
            <w:shd w:val="clear" w:color="auto" w:fill="00FFFF"/>
            <w:noWrap/>
            <w:vAlign w:val="bottom"/>
          </w:tcPr>
          <w:p w:rsidR="00F05BC3" w:rsidRDefault="00F05BC3" w:rsidP="003E2086">
            <w:pPr>
              <w:spacing w:line="360" w:lineRule="auto"/>
              <w:rPr>
                <w:rFonts w:ascii="Arial" w:hAnsi="Arial" w:cs="Arial"/>
                <w:b/>
                <w:bCs/>
                <w:sz w:val="20"/>
                <w:szCs w:val="20"/>
              </w:rPr>
            </w:pPr>
            <w:r>
              <w:rPr>
                <w:rFonts w:ascii="Arial" w:hAnsi="Arial" w:cs="Arial"/>
                <w:b/>
                <w:bCs/>
                <w:sz w:val="20"/>
                <w:szCs w:val="20"/>
              </w:rPr>
              <w:t xml:space="preserve">Winners WRT </w:t>
            </w:r>
            <w:r w:rsidR="00D35E98">
              <w:rPr>
                <w:rFonts w:ascii="Arial" w:hAnsi="Arial" w:cs="Arial"/>
                <w:b/>
                <w:bCs/>
                <w:sz w:val="20"/>
                <w:szCs w:val="20"/>
              </w:rPr>
              <w:t>Returns</w:t>
            </w:r>
          </w:p>
        </w:tc>
        <w:tc>
          <w:tcPr>
            <w:tcW w:w="1823" w:type="dxa"/>
            <w:tcBorders>
              <w:left w:val="single" w:sz="4" w:space="0" w:color="auto"/>
              <w:bottom w:val="single" w:sz="4" w:space="0" w:color="auto"/>
            </w:tcBorders>
            <w:shd w:val="clear" w:color="auto" w:fill="auto"/>
            <w:noWrap/>
            <w:vAlign w:val="bottom"/>
          </w:tcPr>
          <w:p w:rsidR="00F05BC3" w:rsidRDefault="00F05BC3" w:rsidP="003E2086">
            <w:pPr>
              <w:spacing w:line="360" w:lineRule="auto"/>
              <w:rPr>
                <w:rFonts w:ascii="Arial" w:hAnsi="Arial" w:cs="Arial"/>
                <w:b/>
                <w:bCs/>
                <w:sz w:val="20"/>
                <w:szCs w:val="20"/>
              </w:rPr>
            </w:pPr>
            <w:r>
              <w:rPr>
                <w:rFonts w:ascii="Arial" w:hAnsi="Arial" w:cs="Arial"/>
                <w:b/>
                <w:bCs/>
                <w:sz w:val="20"/>
                <w:szCs w:val="20"/>
              </w:rPr>
              <w:t> </w:t>
            </w:r>
          </w:p>
        </w:tc>
        <w:tc>
          <w:tcPr>
            <w:tcW w:w="2807" w:type="dxa"/>
            <w:tcBorders>
              <w:bottom w:val="single" w:sz="4" w:space="0" w:color="auto"/>
            </w:tcBorders>
            <w:shd w:val="clear" w:color="auto" w:fill="auto"/>
            <w:noWrap/>
            <w:vAlign w:val="bottom"/>
          </w:tcPr>
          <w:p w:rsidR="00F05BC3" w:rsidRDefault="00F05BC3" w:rsidP="003E2086">
            <w:pPr>
              <w:spacing w:line="360" w:lineRule="auto"/>
              <w:rPr>
                <w:rFonts w:ascii="Arial" w:hAnsi="Arial" w:cs="Arial"/>
                <w:b/>
                <w:bCs/>
                <w:sz w:val="20"/>
                <w:szCs w:val="20"/>
              </w:rPr>
            </w:pPr>
            <w:r>
              <w:rPr>
                <w:rFonts w:ascii="Arial" w:hAnsi="Arial" w:cs="Arial"/>
                <w:b/>
                <w:bCs/>
                <w:sz w:val="20"/>
                <w:szCs w:val="20"/>
              </w:rPr>
              <w:t> </w:t>
            </w:r>
          </w:p>
        </w:tc>
        <w:tc>
          <w:tcPr>
            <w:tcW w:w="2663" w:type="dxa"/>
            <w:tcBorders>
              <w:bottom w:val="single" w:sz="4" w:space="0" w:color="auto"/>
            </w:tcBorders>
            <w:shd w:val="clear" w:color="auto" w:fill="auto"/>
            <w:noWrap/>
            <w:vAlign w:val="bottom"/>
          </w:tcPr>
          <w:p w:rsidR="00F05BC3" w:rsidRDefault="00F05BC3" w:rsidP="003E2086">
            <w:pPr>
              <w:spacing w:line="360" w:lineRule="auto"/>
              <w:rPr>
                <w:rFonts w:ascii="Arial" w:hAnsi="Arial" w:cs="Arial"/>
                <w:sz w:val="20"/>
                <w:szCs w:val="20"/>
              </w:rPr>
            </w:pPr>
            <w:r>
              <w:rPr>
                <w:rFonts w:ascii="Arial" w:hAnsi="Arial" w:cs="Arial"/>
                <w:sz w:val="20"/>
                <w:szCs w:val="20"/>
              </w:rPr>
              <w:t> </w:t>
            </w:r>
          </w:p>
        </w:tc>
      </w:tr>
      <w:tr w:rsidR="00F05BC3">
        <w:trPr>
          <w:trHeight w:val="269"/>
        </w:trPr>
        <w:tc>
          <w:tcPr>
            <w:tcW w:w="1206" w:type="dxa"/>
            <w:tcBorders>
              <w:top w:val="single" w:sz="4" w:space="0" w:color="auto"/>
              <w:left w:val="single" w:sz="4" w:space="0" w:color="auto"/>
              <w:bottom w:val="single" w:sz="4" w:space="0" w:color="auto"/>
              <w:right w:val="single" w:sz="4" w:space="0" w:color="auto"/>
            </w:tcBorders>
            <w:shd w:val="clear" w:color="auto" w:fill="FFCC00"/>
            <w:noWrap/>
            <w:vAlign w:val="bottom"/>
          </w:tcPr>
          <w:p w:rsidR="00F05BC3" w:rsidRDefault="00F05BC3" w:rsidP="003E2086">
            <w:pPr>
              <w:spacing w:line="360" w:lineRule="auto"/>
              <w:rPr>
                <w:rFonts w:ascii="Arial" w:hAnsi="Arial" w:cs="Arial"/>
                <w:sz w:val="20"/>
                <w:szCs w:val="20"/>
              </w:rPr>
            </w:pPr>
            <w:r>
              <w:rPr>
                <w:rFonts w:ascii="Arial" w:hAnsi="Arial" w:cs="Arial"/>
                <w:sz w:val="20"/>
                <w:szCs w:val="20"/>
              </w:rPr>
              <w:t>years</w:t>
            </w:r>
          </w:p>
        </w:tc>
        <w:tc>
          <w:tcPr>
            <w:tcW w:w="1823" w:type="dxa"/>
            <w:tcBorders>
              <w:top w:val="single" w:sz="4" w:space="0" w:color="auto"/>
              <w:left w:val="nil"/>
              <w:bottom w:val="single" w:sz="4" w:space="0" w:color="auto"/>
              <w:right w:val="single" w:sz="4" w:space="0" w:color="auto"/>
            </w:tcBorders>
            <w:shd w:val="clear" w:color="auto" w:fill="FFCC00"/>
            <w:noWrap/>
            <w:vAlign w:val="bottom"/>
          </w:tcPr>
          <w:p w:rsidR="00F05BC3" w:rsidRDefault="00457BA6" w:rsidP="003E2086">
            <w:pPr>
              <w:spacing w:line="360" w:lineRule="auto"/>
              <w:rPr>
                <w:rFonts w:ascii="Arial" w:hAnsi="Arial" w:cs="Arial"/>
                <w:sz w:val="20"/>
                <w:szCs w:val="20"/>
              </w:rPr>
            </w:pPr>
            <w:r>
              <w:rPr>
                <w:rFonts w:ascii="Arial" w:hAnsi="Arial" w:cs="Arial"/>
                <w:sz w:val="20"/>
                <w:szCs w:val="20"/>
              </w:rPr>
              <w:t>Av.Ret</w:t>
            </w:r>
            <w:r w:rsidR="00F05BC3">
              <w:rPr>
                <w:rFonts w:ascii="Arial" w:hAnsi="Arial" w:cs="Arial"/>
                <w:sz w:val="20"/>
                <w:szCs w:val="20"/>
              </w:rPr>
              <w:t>urns</w:t>
            </w:r>
          </w:p>
        </w:tc>
        <w:tc>
          <w:tcPr>
            <w:tcW w:w="2807" w:type="dxa"/>
            <w:tcBorders>
              <w:top w:val="single" w:sz="4" w:space="0" w:color="auto"/>
              <w:left w:val="nil"/>
              <w:bottom w:val="single" w:sz="4" w:space="0" w:color="auto"/>
              <w:right w:val="single" w:sz="4" w:space="0" w:color="auto"/>
            </w:tcBorders>
            <w:shd w:val="clear" w:color="auto" w:fill="FFCC00"/>
            <w:noWrap/>
            <w:vAlign w:val="bottom"/>
          </w:tcPr>
          <w:p w:rsidR="00F05BC3" w:rsidRDefault="00F05BC3" w:rsidP="003E2086">
            <w:pPr>
              <w:spacing w:line="360" w:lineRule="auto"/>
              <w:rPr>
                <w:rFonts w:ascii="Arial" w:hAnsi="Arial" w:cs="Arial"/>
                <w:sz w:val="20"/>
                <w:szCs w:val="20"/>
              </w:rPr>
            </w:pPr>
            <w:r>
              <w:rPr>
                <w:rFonts w:ascii="Arial" w:hAnsi="Arial" w:cs="Arial"/>
                <w:sz w:val="20"/>
                <w:szCs w:val="20"/>
              </w:rPr>
              <w:t xml:space="preserve">St.Deviation in </w:t>
            </w:r>
            <w:r w:rsidR="00D35E98">
              <w:rPr>
                <w:rFonts w:ascii="Arial" w:hAnsi="Arial" w:cs="Arial"/>
                <w:sz w:val="20"/>
                <w:szCs w:val="20"/>
              </w:rPr>
              <w:t>Returns</w:t>
            </w:r>
          </w:p>
        </w:tc>
        <w:tc>
          <w:tcPr>
            <w:tcW w:w="2663" w:type="dxa"/>
            <w:tcBorders>
              <w:top w:val="single" w:sz="4" w:space="0" w:color="auto"/>
              <w:left w:val="nil"/>
              <w:bottom w:val="single" w:sz="4" w:space="0" w:color="auto"/>
              <w:right w:val="single" w:sz="4" w:space="0" w:color="auto"/>
            </w:tcBorders>
            <w:shd w:val="clear" w:color="auto" w:fill="FFCC00"/>
            <w:noWrap/>
            <w:vAlign w:val="bottom"/>
          </w:tcPr>
          <w:p w:rsidR="00F05BC3" w:rsidRDefault="00F05BC3" w:rsidP="003E2086">
            <w:pPr>
              <w:spacing w:line="360" w:lineRule="auto"/>
              <w:rPr>
                <w:rFonts w:ascii="Arial" w:hAnsi="Arial" w:cs="Arial"/>
                <w:sz w:val="20"/>
                <w:szCs w:val="20"/>
              </w:rPr>
            </w:pPr>
            <w:r>
              <w:rPr>
                <w:rFonts w:ascii="Arial" w:hAnsi="Arial" w:cs="Arial"/>
                <w:sz w:val="20"/>
                <w:szCs w:val="20"/>
              </w:rPr>
              <w:t>Coefficient of variation</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2001</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44.10%</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50.82%</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1.15</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2002</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237.14%</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162.34%</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0.68</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2003</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216.77%</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176.35%</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0.81</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2004</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110.61%</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31.95%</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0.29</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2005</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90.91%</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45.99%</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0.51</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2006</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45.53%</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32.31%</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0.71</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2007</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170.37%</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118.98%</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0.70</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2008</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-4.40%</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41.12%</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-9.35</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2009</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110.06%</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45.66%</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0.41</w:t>
            </w:r>
          </w:p>
        </w:tc>
      </w:tr>
      <w:tr w:rsidR="00F05BC3">
        <w:trPr>
          <w:trHeight w:val="269"/>
        </w:trPr>
        <w:tc>
          <w:tcPr>
            <w:tcW w:w="1206" w:type="dxa"/>
            <w:tcBorders>
              <w:top w:val="nil"/>
              <w:left w:val="single" w:sz="4" w:space="0" w:color="auto"/>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2010</w:t>
            </w:r>
          </w:p>
        </w:tc>
        <w:tc>
          <w:tcPr>
            <w:tcW w:w="182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46.93%</w:t>
            </w:r>
          </w:p>
        </w:tc>
        <w:tc>
          <w:tcPr>
            <w:tcW w:w="2807"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39.50%</w:t>
            </w:r>
          </w:p>
        </w:tc>
        <w:tc>
          <w:tcPr>
            <w:tcW w:w="2663" w:type="dxa"/>
            <w:tcBorders>
              <w:top w:val="nil"/>
              <w:left w:val="nil"/>
              <w:bottom w:val="single" w:sz="4" w:space="0" w:color="auto"/>
              <w:right w:val="single" w:sz="4" w:space="0" w:color="auto"/>
            </w:tcBorders>
            <w:shd w:val="clear" w:color="auto" w:fill="auto"/>
            <w:noWrap/>
            <w:vAlign w:val="bottom"/>
          </w:tcPr>
          <w:p w:rsidR="00F05BC3" w:rsidRDefault="00F05BC3" w:rsidP="003E2086">
            <w:pPr>
              <w:spacing w:line="360" w:lineRule="auto"/>
              <w:jc w:val="right"/>
              <w:rPr>
                <w:rFonts w:ascii="Arial" w:hAnsi="Arial" w:cs="Arial"/>
                <w:sz w:val="20"/>
                <w:szCs w:val="20"/>
              </w:rPr>
            </w:pPr>
            <w:r>
              <w:rPr>
                <w:rFonts w:ascii="Arial" w:hAnsi="Arial" w:cs="Arial"/>
                <w:sz w:val="20"/>
                <w:szCs w:val="20"/>
              </w:rPr>
              <w:t>0.84</w:t>
            </w:r>
          </w:p>
        </w:tc>
      </w:tr>
    </w:tbl>
    <w:p w:rsidR="00F05BC3" w:rsidRDefault="00F05BC3" w:rsidP="003E2086">
      <w:pPr>
        <w:spacing w:before="100" w:beforeAutospacing="1" w:after="100" w:afterAutospacing="1" w:line="360" w:lineRule="auto"/>
      </w:pPr>
    </w:p>
    <w:p w:rsidR="00B878AC" w:rsidRDefault="00210E9D" w:rsidP="003E2086">
      <w:pPr>
        <w:spacing w:before="100" w:beforeAutospacing="1" w:after="100" w:afterAutospacing="1" w:line="360" w:lineRule="auto"/>
      </w:pPr>
      <w:r w:rsidRPr="00210E9D">
        <w:t xml:space="preserve">This </w:t>
      </w:r>
      <w:r>
        <w:t xml:space="preserve">table shows that the winners performed really </w:t>
      </w:r>
      <w:r w:rsidR="00E475AF">
        <w:t>well from</w:t>
      </w:r>
      <w:r>
        <w:t xml:space="preserve"> 200</w:t>
      </w:r>
      <w:r w:rsidR="007365C9">
        <w:t xml:space="preserve">1 to 2007and showed </w:t>
      </w:r>
      <w:r w:rsidR="00E475AF">
        <w:t xml:space="preserve">130.77% average </w:t>
      </w:r>
      <w:r w:rsidR="002674E6">
        <w:t xml:space="preserve">returns during this period. The reasons may be due to the better </w:t>
      </w:r>
      <w:r w:rsidR="00180AEE">
        <w:t>economic</w:t>
      </w:r>
      <w:r w:rsidR="002674E6">
        <w:t xml:space="preserve"> condition of the country and high growth of the services industry. The main point to be noted is that the </w:t>
      </w:r>
      <w:r w:rsidR="00180AEE">
        <w:t>average</w:t>
      </w:r>
      <w:r w:rsidR="002674E6">
        <w:t xml:space="preserve"> market returns of the whole winners was -4.39% in the year 2008 and the reasons may be the aftermath of the assassination of </w:t>
      </w:r>
      <w:r w:rsidR="00180AEE">
        <w:t>the</w:t>
      </w:r>
      <w:r w:rsidR="002674E6">
        <w:t xml:space="preserve"> former prime minister</w:t>
      </w:r>
      <w:r w:rsidR="00180AEE">
        <w:t xml:space="preserve"> Benazir Bhutto in Liaqat Bagh Rawilpindi, the lawyers movement against military dictator Gen.</w:t>
      </w:r>
      <w:r w:rsidR="00216198">
        <w:t>Musharsf</w:t>
      </w:r>
      <w:r w:rsidR="00180AEE">
        <w:t>, bomb blasts and the increasing insurgency of the militant groups in the country.</w:t>
      </w:r>
      <w:r w:rsidR="000B42DF">
        <w:t xml:space="preserve"> </w:t>
      </w:r>
      <w:r w:rsidR="00B878AC">
        <w:t>It is evident from the above table that average annual returns of winners were negative</w:t>
      </w:r>
      <w:r w:rsidR="00FC2F6D">
        <w:t xml:space="preserve"> (4.40%)</w:t>
      </w:r>
      <w:r w:rsidR="00B878AC">
        <w:t xml:space="preserve"> only once in 2008, hence 90% of the time their average returns were </w:t>
      </w:r>
      <w:r w:rsidR="00552DF2">
        <w:t>positive</w:t>
      </w:r>
      <w:r w:rsidR="00B878AC">
        <w:t xml:space="preserve"> </w:t>
      </w:r>
      <w:r w:rsidR="00552DF2">
        <w:t>and negative</w:t>
      </w:r>
      <w:r w:rsidR="00B878AC">
        <w:t xml:space="preserve"> </w:t>
      </w:r>
      <w:r w:rsidR="00552DF2">
        <w:t xml:space="preserve">returns 10% </w:t>
      </w:r>
      <w:r w:rsidR="00B878AC">
        <w:t>of the whole data period.</w:t>
      </w:r>
    </w:p>
    <w:p w:rsidR="00C95A01" w:rsidRDefault="000B42DF" w:rsidP="003E2086">
      <w:pPr>
        <w:spacing w:before="100" w:beforeAutospacing="1" w:after="100" w:afterAutospacing="1" w:line="360" w:lineRule="auto"/>
      </w:pPr>
      <w:r>
        <w:t xml:space="preserve">The bar chart shows the average annual returns </w:t>
      </w:r>
      <w:r w:rsidR="005939A2">
        <w:t>of the winners.</w:t>
      </w:r>
    </w:p>
    <w:p w:rsidR="001075DA" w:rsidRPr="001075DA" w:rsidRDefault="002B1411" w:rsidP="003E2086">
      <w:pPr>
        <w:spacing w:before="100" w:beforeAutospacing="1" w:after="100" w:afterAutospacing="1" w:line="360" w:lineRule="auto"/>
      </w:pPr>
      <w:r w:rsidRPr="001075DA">
        <w:rPr>
          <w:noProof/>
        </w:rPr>
        <w:lastRenderedPageBreak/>
        <w:drawing>
          <wp:inline distT="0" distB="0" distL="0" distR="0">
            <wp:extent cx="5934075" cy="408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893805" w:rsidRDefault="00893805" w:rsidP="003E2086">
      <w:pPr>
        <w:spacing w:before="100" w:beforeAutospacing="1" w:after="100" w:afterAutospacing="1" w:line="360" w:lineRule="auto"/>
      </w:pPr>
      <w:r>
        <w:t xml:space="preserve">The standard deviation column shows the standard deviation of the winner group in the data period, which is a good measure of checking variability. But it becomes confusing in cases where we want to compare the variability of two or more </w:t>
      </w:r>
      <w:r w:rsidR="00216198">
        <w:t>than</w:t>
      </w:r>
      <w:r>
        <w:t xml:space="preserve"> two data sets, </w:t>
      </w:r>
      <w:r w:rsidR="00216198">
        <w:t>therefore</w:t>
      </w:r>
      <w:r>
        <w:t xml:space="preserve"> </w:t>
      </w:r>
      <w:r w:rsidR="008B3074">
        <w:t xml:space="preserve">a relative measure for checking </w:t>
      </w:r>
      <w:r w:rsidR="00216198">
        <w:t>homogeneity, volatility</w:t>
      </w:r>
      <w:r w:rsidR="00050591">
        <w:t xml:space="preserve"> </w:t>
      </w:r>
      <w:r w:rsidR="008B3074">
        <w:t xml:space="preserve"> </w:t>
      </w:r>
      <w:r w:rsidR="00216198">
        <w:t>i.e.</w:t>
      </w:r>
      <w:r w:rsidR="008B3074">
        <w:t xml:space="preserve"> coefficient of variation is given in the next column through which we can </w:t>
      </w:r>
      <w:r w:rsidR="00596734">
        <w:t>be</w:t>
      </w:r>
      <w:r w:rsidR="008B3074">
        <w:t>t</w:t>
      </w:r>
      <w:r w:rsidR="00596734">
        <w:t>ter</w:t>
      </w:r>
      <w:r w:rsidR="008B3074">
        <w:t xml:space="preserve"> compare the winners and losers’ variability in their share price and market returns.</w:t>
      </w:r>
      <w:r w:rsidR="00932A83">
        <w:t xml:space="preserve"> The line chart is </w:t>
      </w:r>
      <w:r w:rsidR="009B090C">
        <w:t>showing</w:t>
      </w:r>
      <w:r w:rsidR="00932A83">
        <w:t xml:space="preserve"> the deviation of market returns of winners from its mean.</w:t>
      </w:r>
    </w:p>
    <w:p w:rsidR="002F633E" w:rsidRDefault="002F633E" w:rsidP="003E2086">
      <w:pPr>
        <w:spacing w:before="100" w:beforeAutospacing="1" w:after="100" w:afterAutospacing="1" w:line="360" w:lineRule="auto"/>
      </w:pPr>
    </w:p>
    <w:p w:rsidR="002F633E" w:rsidRDefault="002F633E" w:rsidP="003E2086">
      <w:pPr>
        <w:spacing w:before="100" w:beforeAutospacing="1" w:after="100" w:afterAutospacing="1" w:line="360" w:lineRule="auto"/>
      </w:pPr>
    </w:p>
    <w:p w:rsidR="001075DA" w:rsidRPr="001075DA" w:rsidRDefault="002B1411" w:rsidP="003E2086">
      <w:pPr>
        <w:spacing w:before="100" w:beforeAutospacing="1" w:after="100" w:afterAutospacing="1" w:line="360" w:lineRule="auto"/>
      </w:pPr>
      <w:r w:rsidRPr="001075DA">
        <w:rPr>
          <w:noProof/>
        </w:rPr>
        <w:lastRenderedPageBreak/>
        <w:drawing>
          <wp:inline distT="0" distB="0" distL="0" distR="0">
            <wp:extent cx="5943600" cy="408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rsidR="002F633E" w:rsidRDefault="008B3074" w:rsidP="002F633E">
      <w:pPr>
        <w:spacing w:before="100" w:beforeAutospacing="1" w:after="100" w:afterAutospacing="1" w:line="360" w:lineRule="auto"/>
      </w:pPr>
      <w:r>
        <w:t xml:space="preserve">The coefficient of </w:t>
      </w:r>
      <w:r w:rsidR="00216198">
        <w:t>variation</w:t>
      </w:r>
      <w:r w:rsidR="00596734">
        <w:t xml:space="preserve"> in the market returns of the winners show</w:t>
      </w:r>
      <w:r w:rsidR="00637237">
        <w:t>s</w:t>
      </w:r>
      <w:r w:rsidR="00596734">
        <w:t xml:space="preserve"> that volatility in</w:t>
      </w:r>
      <w:r w:rsidR="00291E21">
        <w:t xml:space="preserve"> the returns and share prices</w:t>
      </w:r>
      <w:r w:rsidR="00596734">
        <w:t xml:space="preserve"> was</w:t>
      </w:r>
      <w:r w:rsidR="00291E21">
        <w:t xml:space="preserve"> some what</w:t>
      </w:r>
      <w:r w:rsidR="00596734">
        <w:t xml:space="preserve"> consistent and smooth during years from 2001 to </w:t>
      </w:r>
      <w:r w:rsidR="002A5184">
        <w:t>2007,</w:t>
      </w:r>
      <w:r w:rsidR="00596734">
        <w:t xml:space="preserve"> but a high volatility</w:t>
      </w:r>
      <w:r w:rsidR="00404EE1">
        <w:t xml:space="preserve"> (negative)</w:t>
      </w:r>
      <w:r w:rsidR="00BB6C48">
        <w:t xml:space="preserve"> in the year 2008 may be due to above mentioned circumstances and </w:t>
      </w:r>
      <w:r w:rsidR="004269BB">
        <w:t xml:space="preserve">prevailing situations in the </w:t>
      </w:r>
      <w:r w:rsidR="004F6475">
        <w:t>country</w:t>
      </w:r>
      <w:r w:rsidR="004F6475" w:rsidRPr="004F6475">
        <w:t xml:space="preserve"> </w:t>
      </w:r>
      <w:r w:rsidR="004F6475">
        <w:t>that time</w:t>
      </w:r>
      <w:r w:rsidR="004269BB">
        <w:t>.</w:t>
      </w:r>
      <w:r w:rsidR="00786356">
        <w:t xml:space="preserve"> Another main rea</w:t>
      </w:r>
      <w:r w:rsidR="006A1BA8">
        <w:t>son can be the global down turn s</w:t>
      </w:r>
      <w:r w:rsidR="00740F5E">
        <w:t xml:space="preserve">tarted in </w:t>
      </w:r>
      <w:r w:rsidR="006A1BA8">
        <w:t>July</w:t>
      </w:r>
      <w:r w:rsidR="00740F5E">
        <w:t xml:space="preserve"> 2007 and </w:t>
      </w:r>
      <w:r w:rsidR="00F11D28">
        <w:t>affected</w:t>
      </w:r>
      <w:r w:rsidR="00740F5E">
        <w:t xml:space="preserve"> most of the sto</w:t>
      </w:r>
      <w:r w:rsidR="002A5184">
        <w:t>ck markets i</w:t>
      </w:r>
      <w:r w:rsidR="00740F5E">
        <w:t>n the world especially the textile sector of our country, the most important sector of our economy.</w:t>
      </w:r>
      <w:r w:rsidR="002F633E" w:rsidRPr="002F633E">
        <w:t xml:space="preserve"> </w:t>
      </w:r>
      <w:r w:rsidR="002F633E">
        <w:t>The next line cha</w:t>
      </w:r>
      <w:r w:rsidR="009F7585">
        <w:t>r</w:t>
      </w:r>
      <w:r w:rsidR="002F633E">
        <w:t>t shows the volatility in the annual average returns of the winners.</w:t>
      </w:r>
    </w:p>
    <w:p w:rsidR="008B3074" w:rsidRPr="00210E9D" w:rsidRDefault="008B3074" w:rsidP="003E2086">
      <w:pPr>
        <w:spacing w:before="100" w:beforeAutospacing="1" w:after="100" w:afterAutospacing="1" w:line="360" w:lineRule="auto"/>
      </w:pPr>
    </w:p>
    <w:p w:rsidR="002850FF" w:rsidRPr="00843040" w:rsidRDefault="002B1411" w:rsidP="003E2086">
      <w:pPr>
        <w:spacing w:before="100" w:beforeAutospacing="1" w:after="100" w:afterAutospacing="1" w:line="360" w:lineRule="auto"/>
        <w:rPr>
          <w:b/>
          <w:sz w:val="28"/>
          <w:szCs w:val="28"/>
        </w:rPr>
      </w:pPr>
      <w:r>
        <w:rPr>
          <w:noProof/>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5937885" cy="4084955"/>
            <wp:effectExtent l="0" t="0" r="0" b="0"/>
            <wp:wrapTight wrapText="bothSides">
              <wp:wrapPolygon edited="0">
                <wp:start x="6375" y="705"/>
                <wp:lineTo x="3673" y="1712"/>
                <wp:lineTo x="1109" y="2418"/>
                <wp:lineTo x="1109" y="2720"/>
                <wp:lineTo x="1871" y="4130"/>
                <wp:lineTo x="1109" y="5439"/>
                <wp:lineTo x="1109" y="5742"/>
                <wp:lineTo x="2010" y="5742"/>
                <wp:lineTo x="2010" y="7353"/>
                <wp:lineTo x="901" y="8260"/>
                <wp:lineTo x="485" y="8764"/>
                <wp:lineTo x="416" y="13498"/>
                <wp:lineTo x="554" y="13800"/>
                <wp:lineTo x="1039" y="14002"/>
                <wp:lineTo x="1732" y="15210"/>
                <wp:lineTo x="2010" y="15412"/>
                <wp:lineTo x="1039" y="16822"/>
                <wp:lineTo x="1039" y="17023"/>
                <wp:lineTo x="2010" y="17023"/>
                <wp:lineTo x="2010" y="18635"/>
                <wp:lineTo x="832" y="19642"/>
                <wp:lineTo x="1039" y="19844"/>
                <wp:lineTo x="8870" y="20247"/>
                <wp:lineTo x="9009" y="20751"/>
                <wp:lineTo x="10048" y="20751"/>
                <wp:lineTo x="10117" y="20348"/>
                <wp:lineTo x="14552" y="20247"/>
                <wp:lineTo x="17116" y="19743"/>
                <wp:lineTo x="17047" y="12188"/>
                <wp:lineTo x="21413" y="11685"/>
                <wp:lineTo x="21413" y="10778"/>
                <wp:lineTo x="17047" y="10577"/>
                <wp:lineTo x="17186" y="2720"/>
                <wp:lineTo x="16493" y="2619"/>
                <wp:lineTo x="2010" y="2518"/>
                <wp:lineTo x="14899" y="1309"/>
                <wp:lineTo x="15176" y="907"/>
                <wp:lineTo x="13998" y="705"/>
                <wp:lineTo x="6375" y="705"/>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885" cy="408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6B1" w:rsidRDefault="00A906B1" w:rsidP="003E2086">
      <w:pPr>
        <w:spacing w:before="100" w:beforeAutospacing="1" w:after="100" w:afterAutospacing="1" w:line="360" w:lineRule="auto"/>
        <w:rPr>
          <w:b/>
          <w:sz w:val="28"/>
          <w:szCs w:val="28"/>
        </w:rPr>
      </w:pPr>
    </w:p>
    <w:p w:rsidR="00602A7B" w:rsidRDefault="00602A7B" w:rsidP="003E2086">
      <w:pPr>
        <w:spacing w:before="100" w:beforeAutospacing="1" w:after="100" w:afterAutospacing="1" w:line="360" w:lineRule="auto"/>
        <w:rPr>
          <w:b/>
          <w:sz w:val="28"/>
          <w:szCs w:val="28"/>
        </w:rPr>
      </w:pPr>
    </w:p>
    <w:p w:rsidR="00602A7B" w:rsidRDefault="00602A7B" w:rsidP="003E2086">
      <w:pPr>
        <w:spacing w:before="100" w:beforeAutospacing="1" w:after="100" w:afterAutospacing="1" w:line="360" w:lineRule="auto"/>
        <w:rPr>
          <w:b/>
          <w:sz w:val="28"/>
          <w:szCs w:val="28"/>
        </w:rPr>
      </w:pPr>
    </w:p>
    <w:p w:rsidR="00602A7B" w:rsidRDefault="00602A7B" w:rsidP="003E2086">
      <w:pPr>
        <w:spacing w:before="100" w:beforeAutospacing="1" w:after="100" w:afterAutospacing="1" w:line="360" w:lineRule="auto"/>
        <w:rPr>
          <w:b/>
          <w:sz w:val="28"/>
          <w:szCs w:val="28"/>
        </w:rPr>
      </w:pPr>
    </w:p>
    <w:p w:rsidR="00602A7B" w:rsidRDefault="00602A7B" w:rsidP="003E2086">
      <w:pPr>
        <w:spacing w:before="100" w:beforeAutospacing="1" w:after="100" w:afterAutospacing="1" w:line="360" w:lineRule="auto"/>
        <w:rPr>
          <w:b/>
          <w:sz w:val="28"/>
          <w:szCs w:val="28"/>
        </w:rPr>
      </w:pPr>
    </w:p>
    <w:p w:rsidR="00602A7B" w:rsidRDefault="00602A7B" w:rsidP="003E2086">
      <w:pPr>
        <w:spacing w:before="100" w:beforeAutospacing="1" w:after="100" w:afterAutospacing="1" w:line="360" w:lineRule="auto"/>
        <w:rPr>
          <w:b/>
          <w:sz w:val="28"/>
          <w:szCs w:val="28"/>
        </w:rPr>
      </w:pPr>
    </w:p>
    <w:p w:rsidR="00303BB4" w:rsidRDefault="00303BB4" w:rsidP="003E2086">
      <w:pPr>
        <w:spacing w:before="100" w:beforeAutospacing="1" w:after="100" w:afterAutospacing="1" w:line="360" w:lineRule="auto"/>
        <w:rPr>
          <w:b/>
          <w:sz w:val="28"/>
          <w:szCs w:val="28"/>
        </w:rPr>
      </w:pPr>
    </w:p>
    <w:p w:rsidR="00602A7B" w:rsidRDefault="00602A7B" w:rsidP="003E2086">
      <w:pPr>
        <w:spacing w:before="100" w:beforeAutospacing="1" w:after="100" w:afterAutospacing="1" w:line="360" w:lineRule="auto"/>
        <w:rPr>
          <w:b/>
          <w:sz w:val="28"/>
          <w:szCs w:val="28"/>
        </w:rPr>
      </w:pPr>
    </w:p>
    <w:p w:rsidR="00602A7B" w:rsidRDefault="00602A7B" w:rsidP="003E2086">
      <w:pPr>
        <w:spacing w:before="100" w:beforeAutospacing="1" w:after="100" w:afterAutospacing="1" w:line="360" w:lineRule="auto"/>
        <w:rPr>
          <w:b/>
          <w:sz w:val="28"/>
          <w:szCs w:val="28"/>
        </w:rPr>
      </w:pPr>
      <w:r>
        <w:rPr>
          <w:b/>
          <w:sz w:val="28"/>
          <w:szCs w:val="28"/>
        </w:rPr>
        <w:t>Table 4.2</w:t>
      </w:r>
      <w:r w:rsidR="00601BC1">
        <w:rPr>
          <w:b/>
          <w:sz w:val="28"/>
          <w:szCs w:val="28"/>
        </w:rPr>
        <w:t xml:space="preserve"> Important indicators of Losers </w:t>
      </w:r>
    </w:p>
    <w:tbl>
      <w:tblPr>
        <w:tblW w:w="7215" w:type="dxa"/>
        <w:tblInd w:w="93" w:type="dxa"/>
        <w:tblLook w:val="0000" w:firstRow="0" w:lastRow="0" w:firstColumn="0" w:lastColumn="0" w:noHBand="0" w:noVBand="0"/>
      </w:tblPr>
      <w:tblGrid>
        <w:gridCol w:w="1275"/>
        <w:gridCol w:w="1260"/>
        <w:gridCol w:w="2297"/>
        <w:gridCol w:w="2383"/>
      </w:tblGrid>
      <w:tr w:rsidR="00B1104B">
        <w:trPr>
          <w:trHeight w:val="255"/>
        </w:trPr>
        <w:tc>
          <w:tcPr>
            <w:tcW w:w="1275" w:type="dxa"/>
            <w:tcBorders>
              <w:top w:val="single" w:sz="4" w:space="0" w:color="auto"/>
              <w:left w:val="single" w:sz="4" w:space="0" w:color="auto"/>
              <w:bottom w:val="single" w:sz="4" w:space="0" w:color="auto"/>
              <w:right w:val="single" w:sz="4" w:space="0" w:color="auto"/>
            </w:tcBorders>
            <w:shd w:val="clear" w:color="auto" w:fill="00FFFF"/>
            <w:noWrap/>
            <w:vAlign w:val="bottom"/>
          </w:tcPr>
          <w:p w:rsidR="00602A7B" w:rsidRDefault="00602A7B" w:rsidP="003E2086">
            <w:pPr>
              <w:spacing w:line="360" w:lineRule="auto"/>
              <w:rPr>
                <w:rFonts w:ascii="Arial" w:hAnsi="Arial" w:cs="Arial"/>
                <w:b/>
                <w:bCs/>
                <w:sz w:val="20"/>
                <w:szCs w:val="20"/>
              </w:rPr>
            </w:pPr>
            <w:r>
              <w:rPr>
                <w:rFonts w:ascii="Arial" w:hAnsi="Arial" w:cs="Arial"/>
                <w:b/>
                <w:bCs/>
                <w:sz w:val="20"/>
                <w:szCs w:val="20"/>
              </w:rPr>
              <w:t>Losers WRT Re</w:t>
            </w:r>
            <w:r w:rsidR="000831E0">
              <w:rPr>
                <w:rFonts w:ascii="Arial" w:hAnsi="Arial" w:cs="Arial"/>
                <w:b/>
                <w:bCs/>
                <w:sz w:val="20"/>
                <w:szCs w:val="20"/>
              </w:rPr>
              <w:t>t</w:t>
            </w:r>
            <w:r>
              <w:rPr>
                <w:rFonts w:ascii="Arial" w:hAnsi="Arial" w:cs="Arial"/>
                <w:b/>
                <w:bCs/>
                <w:sz w:val="20"/>
                <w:szCs w:val="20"/>
              </w:rPr>
              <w:t>urns</w:t>
            </w:r>
          </w:p>
        </w:tc>
        <w:tc>
          <w:tcPr>
            <w:tcW w:w="1260" w:type="dxa"/>
            <w:tcBorders>
              <w:left w:val="single" w:sz="4" w:space="0" w:color="auto"/>
              <w:bottom w:val="single" w:sz="4" w:space="0" w:color="auto"/>
            </w:tcBorders>
            <w:shd w:val="clear" w:color="auto" w:fill="auto"/>
            <w:noWrap/>
            <w:vAlign w:val="bottom"/>
          </w:tcPr>
          <w:p w:rsidR="00602A7B" w:rsidRDefault="00602A7B" w:rsidP="003E2086">
            <w:pPr>
              <w:spacing w:line="360" w:lineRule="auto"/>
              <w:rPr>
                <w:rFonts w:ascii="Arial" w:hAnsi="Arial" w:cs="Arial"/>
                <w:b/>
                <w:bCs/>
                <w:sz w:val="20"/>
                <w:szCs w:val="20"/>
              </w:rPr>
            </w:pPr>
          </w:p>
        </w:tc>
        <w:tc>
          <w:tcPr>
            <w:tcW w:w="2297" w:type="dxa"/>
            <w:tcBorders>
              <w:bottom w:val="single" w:sz="4" w:space="0" w:color="auto"/>
            </w:tcBorders>
            <w:shd w:val="clear" w:color="auto" w:fill="auto"/>
            <w:noWrap/>
            <w:vAlign w:val="bottom"/>
          </w:tcPr>
          <w:p w:rsidR="00602A7B" w:rsidRDefault="00602A7B" w:rsidP="003E2086">
            <w:pPr>
              <w:spacing w:line="360" w:lineRule="auto"/>
              <w:rPr>
                <w:rFonts w:ascii="Arial" w:hAnsi="Arial" w:cs="Arial"/>
                <w:b/>
                <w:bCs/>
                <w:sz w:val="20"/>
                <w:szCs w:val="20"/>
              </w:rPr>
            </w:pPr>
            <w:r>
              <w:rPr>
                <w:rFonts w:ascii="Arial" w:hAnsi="Arial" w:cs="Arial"/>
                <w:b/>
                <w:bCs/>
                <w:sz w:val="20"/>
                <w:szCs w:val="20"/>
              </w:rPr>
              <w:t> </w:t>
            </w:r>
          </w:p>
        </w:tc>
        <w:tc>
          <w:tcPr>
            <w:tcW w:w="2383" w:type="dxa"/>
            <w:tcBorders>
              <w:bottom w:val="single" w:sz="4" w:space="0" w:color="auto"/>
            </w:tcBorders>
            <w:shd w:val="clear" w:color="auto" w:fill="auto"/>
            <w:noWrap/>
            <w:vAlign w:val="bottom"/>
          </w:tcPr>
          <w:p w:rsidR="00602A7B" w:rsidRDefault="00602A7B" w:rsidP="003E2086">
            <w:pPr>
              <w:spacing w:line="360" w:lineRule="auto"/>
              <w:rPr>
                <w:rFonts w:ascii="Arial" w:hAnsi="Arial" w:cs="Arial"/>
                <w:sz w:val="20"/>
                <w:szCs w:val="20"/>
              </w:rPr>
            </w:pPr>
            <w:r>
              <w:rPr>
                <w:rFonts w:ascii="Arial" w:hAnsi="Arial" w:cs="Arial"/>
                <w:sz w:val="20"/>
                <w:szCs w:val="20"/>
              </w:rPr>
              <w:t> </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FFCC00"/>
            <w:noWrap/>
            <w:vAlign w:val="bottom"/>
          </w:tcPr>
          <w:p w:rsidR="00602A7B" w:rsidRDefault="000831E0" w:rsidP="003E2086">
            <w:pPr>
              <w:spacing w:line="360" w:lineRule="auto"/>
              <w:rPr>
                <w:rFonts w:ascii="Arial" w:hAnsi="Arial" w:cs="Arial"/>
                <w:sz w:val="20"/>
                <w:szCs w:val="20"/>
              </w:rPr>
            </w:pPr>
            <w:r>
              <w:rPr>
                <w:rFonts w:ascii="Arial" w:hAnsi="Arial" w:cs="Arial"/>
                <w:sz w:val="20"/>
                <w:szCs w:val="20"/>
              </w:rPr>
              <w:t>Years</w:t>
            </w:r>
          </w:p>
        </w:tc>
        <w:tc>
          <w:tcPr>
            <w:tcW w:w="1260" w:type="dxa"/>
            <w:tcBorders>
              <w:top w:val="single" w:sz="4" w:space="0" w:color="auto"/>
              <w:left w:val="nil"/>
              <w:bottom w:val="single" w:sz="4" w:space="0" w:color="auto"/>
              <w:right w:val="single" w:sz="4" w:space="0" w:color="auto"/>
            </w:tcBorders>
            <w:shd w:val="clear" w:color="auto" w:fill="FFCC00"/>
            <w:noWrap/>
            <w:vAlign w:val="bottom"/>
          </w:tcPr>
          <w:p w:rsidR="00602A7B" w:rsidRDefault="00602A7B" w:rsidP="003E2086">
            <w:pPr>
              <w:spacing w:line="360" w:lineRule="auto"/>
              <w:rPr>
                <w:rFonts w:ascii="Arial" w:hAnsi="Arial" w:cs="Arial"/>
                <w:sz w:val="20"/>
                <w:szCs w:val="20"/>
              </w:rPr>
            </w:pPr>
            <w:r>
              <w:rPr>
                <w:rFonts w:ascii="Arial" w:hAnsi="Arial" w:cs="Arial"/>
                <w:sz w:val="20"/>
                <w:szCs w:val="20"/>
              </w:rPr>
              <w:t>Av.</w:t>
            </w:r>
            <w:r w:rsidR="00B1104B">
              <w:rPr>
                <w:rFonts w:ascii="Arial" w:hAnsi="Arial" w:cs="Arial"/>
                <w:sz w:val="20"/>
                <w:szCs w:val="20"/>
              </w:rPr>
              <w:t xml:space="preserve"> </w:t>
            </w:r>
            <w:r>
              <w:rPr>
                <w:rFonts w:ascii="Arial" w:hAnsi="Arial" w:cs="Arial"/>
                <w:sz w:val="20"/>
                <w:szCs w:val="20"/>
              </w:rPr>
              <w:t>Re</w:t>
            </w:r>
            <w:r w:rsidR="000831E0">
              <w:rPr>
                <w:rFonts w:ascii="Arial" w:hAnsi="Arial" w:cs="Arial"/>
                <w:sz w:val="20"/>
                <w:szCs w:val="20"/>
              </w:rPr>
              <w:t>t</w:t>
            </w:r>
            <w:r>
              <w:rPr>
                <w:rFonts w:ascii="Arial" w:hAnsi="Arial" w:cs="Arial"/>
                <w:sz w:val="20"/>
                <w:szCs w:val="20"/>
              </w:rPr>
              <w:t>urns</w:t>
            </w:r>
          </w:p>
        </w:tc>
        <w:tc>
          <w:tcPr>
            <w:tcW w:w="2297" w:type="dxa"/>
            <w:tcBorders>
              <w:top w:val="single" w:sz="4" w:space="0" w:color="auto"/>
              <w:left w:val="nil"/>
              <w:bottom w:val="single" w:sz="4" w:space="0" w:color="auto"/>
              <w:right w:val="single" w:sz="4" w:space="0" w:color="auto"/>
            </w:tcBorders>
            <w:shd w:val="clear" w:color="auto" w:fill="FFCC00"/>
            <w:noWrap/>
            <w:vAlign w:val="bottom"/>
          </w:tcPr>
          <w:p w:rsidR="00602A7B" w:rsidRDefault="00602A7B" w:rsidP="003E2086">
            <w:pPr>
              <w:spacing w:line="360" w:lineRule="auto"/>
              <w:rPr>
                <w:rFonts w:ascii="Arial" w:hAnsi="Arial" w:cs="Arial"/>
                <w:sz w:val="20"/>
                <w:szCs w:val="20"/>
              </w:rPr>
            </w:pPr>
            <w:r>
              <w:rPr>
                <w:rFonts w:ascii="Arial" w:hAnsi="Arial" w:cs="Arial"/>
                <w:sz w:val="20"/>
                <w:szCs w:val="20"/>
              </w:rPr>
              <w:t>St.Deviation in Retu</w:t>
            </w:r>
            <w:r w:rsidR="000831E0">
              <w:rPr>
                <w:rFonts w:ascii="Arial" w:hAnsi="Arial" w:cs="Arial"/>
                <w:sz w:val="20"/>
                <w:szCs w:val="20"/>
              </w:rPr>
              <w:t>r</w:t>
            </w:r>
            <w:r>
              <w:rPr>
                <w:rFonts w:ascii="Arial" w:hAnsi="Arial" w:cs="Arial"/>
                <w:sz w:val="20"/>
                <w:szCs w:val="20"/>
              </w:rPr>
              <w:t>ns</w:t>
            </w:r>
          </w:p>
        </w:tc>
        <w:tc>
          <w:tcPr>
            <w:tcW w:w="2383" w:type="dxa"/>
            <w:tcBorders>
              <w:top w:val="single" w:sz="4" w:space="0" w:color="auto"/>
              <w:left w:val="nil"/>
              <w:bottom w:val="single" w:sz="4" w:space="0" w:color="auto"/>
              <w:right w:val="single" w:sz="4" w:space="0" w:color="auto"/>
            </w:tcBorders>
            <w:shd w:val="clear" w:color="auto" w:fill="FFCC00"/>
            <w:noWrap/>
            <w:vAlign w:val="bottom"/>
          </w:tcPr>
          <w:p w:rsidR="00602A7B" w:rsidRDefault="00602A7B" w:rsidP="003E2086">
            <w:pPr>
              <w:spacing w:line="360" w:lineRule="auto"/>
              <w:rPr>
                <w:rFonts w:ascii="Arial" w:hAnsi="Arial" w:cs="Arial"/>
                <w:sz w:val="20"/>
                <w:szCs w:val="20"/>
              </w:rPr>
            </w:pPr>
            <w:r>
              <w:rPr>
                <w:rFonts w:ascii="Arial" w:hAnsi="Arial" w:cs="Arial"/>
                <w:sz w:val="20"/>
                <w:szCs w:val="20"/>
              </w:rPr>
              <w:t xml:space="preserve">Coefficient of </w:t>
            </w:r>
            <w:r w:rsidR="000831E0">
              <w:rPr>
                <w:rFonts w:ascii="Arial" w:hAnsi="Arial" w:cs="Arial"/>
                <w:sz w:val="20"/>
                <w:szCs w:val="20"/>
              </w:rPr>
              <w:t>Variation</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2001</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-41.00%</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11.06%</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-0.27</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2002</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5.18%</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21.05%</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4.06</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2003</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5.12%</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28.51%</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5.57</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2004</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-6.94%</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9.70%</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-1.40</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2005</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-12.37%</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12.03%</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-0.97</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2006</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-38.89%</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9.78%</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-0.25</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2007</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-7.43%</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9.87%</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-1.33</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2008</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-79.83%</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7.04%</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-0.09</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lastRenderedPageBreak/>
              <w:t>2009</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-36.43%</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15.18%</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-0.42</w:t>
            </w:r>
          </w:p>
        </w:tc>
      </w:tr>
      <w:tr w:rsidR="00602A7B">
        <w:trPr>
          <w:trHeight w:val="255"/>
        </w:trPr>
        <w:tc>
          <w:tcPr>
            <w:tcW w:w="1275" w:type="dxa"/>
            <w:tcBorders>
              <w:top w:val="nil"/>
              <w:left w:val="single" w:sz="4" w:space="0" w:color="auto"/>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2010</w:t>
            </w:r>
          </w:p>
        </w:tc>
        <w:tc>
          <w:tcPr>
            <w:tcW w:w="1260"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-40.05%</w:t>
            </w:r>
          </w:p>
        </w:tc>
        <w:tc>
          <w:tcPr>
            <w:tcW w:w="2297"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12.54%</w:t>
            </w:r>
          </w:p>
        </w:tc>
        <w:tc>
          <w:tcPr>
            <w:tcW w:w="2383" w:type="dxa"/>
            <w:tcBorders>
              <w:top w:val="nil"/>
              <w:left w:val="nil"/>
              <w:bottom w:val="single" w:sz="4" w:space="0" w:color="auto"/>
              <w:right w:val="single" w:sz="4" w:space="0" w:color="auto"/>
            </w:tcBorders>
            <w:shd w:val="clear" w:color="auto" w:fill="auto"/>
            <w:noWrap/>
            <w:vAlign w:val="bottom"/>
          </w:tcPr>
          <w:p w:rsidR="00602A7B" w:rsidRDefault="00602A7B" w:rsidP="003E2086">
            <w:pPr>
              <w:spacing w:line="360" w:lineRule="auto"/>
              <w:jc w:val="right"/>
              <w:rPr>
                <w:rFonts w:ascii="Arial" w:hAnsi="Arial" w:cs="Arial"/>
                <w:sz w:val="20"/>
                <w:szCs w:val="20"/>
              </w:rPr>
            </w:pPr>
            <w:r>
              <w:rPr>
                <w:rFonts w:ascii="Arial" w:hAnsi="Arial" w:cs="Arial"/>
                <w:sz w:val="20"/>
                <w:szCs w:val="20"/>
              </w:rPr>
              <w:t>-0.31</w:t>
            </w:r>
          </w:p>
        </w:tc>
      </w:tr>
    </w:tbl>
    <w:p w:rsidR="00303BB4" w:rsidRDefault="00303BB4" w:rsidP="003E2086">
      <w:pPr>
        <w:spacing w:before="100" w:beforeAutospacing="1" w:after="100" w:afterAutospacing="1" w:line="360" w:lineRule="auto"/>
        <w:rPr>
          <w:b/>
          <w:sz w:val="28"/>
          <w:szCs w:val="28"/>
        </w:rPr>
      </w:pPr>
    </w:p>
    <w:p w:rsidR="00C154C1" w:rsidRDefault="00C154C1" w:rsidP="003E2086">
      <w:pPr>
        <w:spacing w:before="100" w:beforeAutospacing="1" w:after="100" w:afterAutospacing="1" w:line="360" w:lineRule="auto"/>
      </w:pPr>
      <w:r w:rsidRPr="00994C7C">
        <w:t>This table shows</w:t>
      </w:r>
      <w:r>
        <w:t xml:space="preserve"> the different parameters of the losers</w:t>
      </w:r>
      <w:r w:rsidR="003276E0">
        <w:t xml:space="preserve"> 18 companies</w:t>
      </w:r>
      <w:r>
        <w:t xml:space="preserve"> for the whole data period. The whole group show negative </w:t>
      </w:r>
      <w:r w:rsidR="005F17C0">
        <w:t xml:space="preserve">average annual </w:t>
      </w:r>
      <w:r>
        <w:t xml:space="preserve">returns </w:t>
      </w:r>
      <w:r w:rsidR="00AD723D">
        <w:t>in 2001 and from 2004 to 2010</w:t>
      </w:r>
      <w:r w:rsidR="001C3048">
        <w:t xml:space="preserve">. </w:t>
      </w:r>
      <w:r w:rsidR="004357E5">
        <w:t>Hence</w:t>
      </w:r>
      <w:r w:rsidR="001C3048">
        <w:t xml:space="preserve"> 80% of the time the average annul returns of losers</w:t>
      </w:r>
      <w:r w:rsidR="004357E5">
        <w:t xml:space="preserve"> were negative. However </w:t>
      </w:r>
      <w:r>
        <w:t xml:space="preserve">in years 2002 and </w:t>
      </w:r>
      <w:r w:rsidR="00BA62F9">
        <w:t>2003 losers</w:t>
      </w:r>
      <w:r>
        <w:t xml:space="preserve"> </w:t>
      </w:r>
      <w:r w:rsidR="00777180">
        <w:t>show</w:t>
      </w:r>
      <w:r>
        <w:t xml:space="preserve"> </w:t>
      </w:r>
      <w:r w:rsidR="00777180">
        <w:t>average returns</w:t>
      </w:r>
      <w:r>
        <w:t xml:space="preserve"> of 5.15%</w:t>
      </w:r>
      <w:r w:rsidR="00777180">
        <w:t xml:space="preserve"> or only 20% of the time.</w:t>
      </w:r>
      <w:r>
        <w:t xml:space="preserve"> This could be due to the better economic conditions in the country that time. Besides that a lot of foreign aid was injected in the country economy for supporting the US led war against terror in </w:t>
      </w:r>
      <w:smartTag w:uri="urn:schemas-microsoft-com:office:smarttags" w:element="place">
        <w:smartTag w:uri="urn:schemas-microsoft-com:office:smarttags" w:element="country-region">
          <w:r>
            <w:t>Afghanistan</w:t>
          </w:r>
        </w:smartTag>
      </w:smartTag>
      <w:r>
        <w:t>, and Musharaf efforts to topple the insurgent groups in the tribal belt of the country.</w:t>
      </w:r>
    </w:p>
    <w:p w:rsidR="00520198" w:rsidRDefault="00520198" w:rsidP="003E2086">
      <w:pPr>
        <w:spacing w:before="100" w:beforeAutospacing="1" w:after="100" w:afterAutospacing="1" w:line="360" w:lineRule="auto"/>
      </w:pPr>
      <w:r>
        <w:t xml:space="preserve">The bar </w:t>
      </w:r>
      <w:r w:rsidR="008F7C58">
        <w:t>chart represents</w:t>
      </w:r>
      <w:r>
        <w:t xml:space="preserve"> the annu</w:t>
      </w:r>
      <w:r w:rsidR="00C8295B">
        <w:t>a</w:t>
      </w:r>
      <w:r>
        <w:t>l average returns of the losers group from 2001 to 2010.</w:t>
      </w:r>
    </w:p>
    <w:p w:rsidR="00C154C1" w:rsidRDefault="00C154C1" w:rsidP="003E2086">
      <w:pPr>
        <w:spacing w:before="100" w:beforeAutospacing="1" w:after="100" w:afterAutospacing="1" w:line="360" w:lineRule="auto"/>
        <w:rPr>
          <w:b/>
          <w:sz w:val="28"/>
          <w:szCs w:val="28"/>
        </w:rPr>
      </w:pPr>
    </w:p>
    <w:p w:rsidR="00303BB4" w:rsidRPr="00602A7B" w:rsidRDefault="002B1411" w:rsidP="003E2086">
      <w:pPr>
        <w:spacing w:before="100" w:beforeAutospacing="1" w:after="100" w:afterAutospacing="1" w:line="360" w:lineRule="auto"/>
        <w:rPr>
          <w:b/>
          <w:sz w:val="28"/>
          <w:szCs w:val="28"/>
        </w:rPr>
      </w:pPr>
      <w:r w:rsidRPr="00602A7B">
        <w:rPr>
          <w:noProof/>
        </w:rPr>
        <w:drawing>
          <wp:inline distT="0" distB="0" distL="0" distR="0">
            <wp:extent cx="5934075" cy="408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602A7B" w:rsidRPr="00584B4D" w:rsidRDefault="007D5A96" w:rsidP="003E2086">
      <w:pPr>
        <w:spacing w:before="100" w:beforeAutospacing="1" w:after="100" w:afterAutospacing="1" w:line="360" w:lineRule="auto"/>
      </w:pPr>
      <w:r w:rsidRPr="00584B4D">
        <w:lastRenderedPageBreak/>
        <w:t xml:space="preserve">The standard deviation in the returns of losers </w:t>
      </w:r>
      <w:r w:rsidR="002F0E25">
        <w:t xml:space="preserve">is represented by the below line chart. As mentioned earlier it is </w:t>
      </w:r>
      <w:r w:rsidR="00F0665F">
        <w:t>confusing</w:t>
      </w:r>
      <w:r w:rsidR="002F0E25">
        <w:t xml:space="preserve"> to compare the standard deviation of winners and losers</w:t>
      </w:r>
      <w:r w:rsidR="0056347A">
        <w:t xml:space="preserve"> because both have different average returns</w:t>
      </w:r>
      <w:r w:rsidR="002F0E25">
        <w:t xml:space="preserve">. </w:t>
      </w:r>
      <w:r w:rsidR="00027AB1">
        <w:t>So</w:t>
      </w:r>
      <w:r w:rsidR="002F0E25">
        <w:t xml:space="preserve"> let have a glance on the coefficient of variation in the returns of losers.</w:t>
      </w:r>
      <w:r w:rsidR="00CD5DF1">
        <w:t xml:space="preserve"> </w:t>
      </w:r>
      <w:r w:rsidR="00B06BBB">
        <w:t>So</w:t>
      </w:r>
      <w:r w:rsidR="00CD5DF1">
        <w:t xml:space="preserve"> that a better comparison can be</w:t>
      </w:r>
      <w:r w:rsidR="008C1A05">
        <w:t xml:space="preserve"> make.</w:t>
      </w:r>
    </w:p>
    <w:p w:rsidR="00303BB4" w:rsidRDefault="00303BB4" w:rsidP="003E2086">
      <w:pPr>
        <w:spacing w:before="100" w:beforeAutospacing="1" w:after="100" w:afterAutospacing="1" w:line="360" w:lineRule="auto"/>
        <w:rPr>
          <w:b/>
          <w:sz w:val="28"/>
          <w:szCs w:val="28"/>
        </w:rPr>
      </w:pPr>
    </w:p>
    <w:p w:rsidR="00602A7B" w:rsidRPr="00602A7B" w:rsidRDefault="002B1411" w:rsidP="003E2086">
      <w:pPr>
        <w:spacing w:before="100" w:beforeAutospacing="1" w:after="100" w:afterAutospacing="1" w:line="360" w:lineRule="auto"/>
        <w:rPr>
          <w:b/>
          <w:sz w:val="28"/>
          <w:szCs w:val="28"/>
        </w:rPr>
      </w:pPr>
      <w:r w:rsidRPr="00602A7B">
        <w:rPr>
          <w:noProof/>
        </w:rPr>
        <w:drawing>
          <wp:inline distT="0" distB="0" distL="0" distR="0">
            <wp:extent cx="5934075" cy="4086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602A7B" w:rsidRDefault="00602A7B" w:rsidP="003E2086">
      <w:pPr>
        <w:spacing w:before="100" w:beforeAutospacing="1" w:after="100" w:afterAutospacing="1" w:line="360" w:lineRule="auto"/>
        <w:rPr>
          <w:b/>
          <w:sz w:val="28"/>
          <w:szCs w:val="28"/>
        </w:rPr>
      </w:pPr>
    </w:p>
    <w:p w:rsidR="00254A2E" w:rsidRDefault="00254A2E" w:rsidP="00254A2E">
      <w:pPr>
        <w:spacing w:before="100" w:beforeAutospacing="1" w:after="100" w:afterAutospacing="1" w:line="360" w:lineRule="auto"/>
        <w:rPr>
          <w:b/>
          <w:sz w:val="28"/>
          <w:szCs w:val="28"/>
        </w:rPr>
      </w:pPr>
      <w:r>
        <w:t>The coefficient of variation shows high variability in the returns of losers as compared to the winners if the outlier effect in 2008 is adjusted or ignored in the table for the winners.</w:t>
      </w:r>
    </w:p>
    <w:p w:rsidR="00602A7B" w:rsidRDefault="00602A7B" w:rsidP="003E2086">
      <w:pPr>
        <w:spacing w:before="100" w:beforeAutospacing="1" w:after="100" w:afterAutospacing="1" w:line="360" w:lineRule="auto"/>
        <w:rPr>
          <w:b/>
          <w:sz w:val="28"/>
          <w:szCs w:val="28"/>
        </w:rPr>
      </w:pPr>
    </w:p>
    <w:p w:rsidR="00602A7B" w:rsidRPr="00602A7B" w:rsidRDefault="002B1411" w:rsidP="003E2086">
      <w:pPr>
        <w:spacing w:before="100" w:beforeAutospacing="1" w:after="100" w:afterAutospacing="1" w:line="360" w:lineRule="auto"/>
        <w:rPr>
          <w:b/>
          <w:sz w:val="28"/>
          <w:szCs w:val="28"/>
        </w:rPr>
      </w:pPr>
      <w:r w:rsidRPr="00602A7B">
        <w:rPr>
          <w:noProof/>
        </w:rPr>
        <w:lastRenderedPageBreak/>
        <w:drawing>
          <wp:inline distT="0" distB="0" distL="0" distR="0">
            <wp:extent cx="5934075" cy="4086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2E15BB" w:rsidRDefault="006807F0" w:rsidP="003E2086">
      <w:pPr>
        <w:spacing w:before="100" w:beforeAutospacing="1" w:after="100" w:afterAutospacing="1" w:line="360" w:lineRule="auto"/>
      </w:pPr>
      <w:r>
        <w:t>This shows that the returns and</w:t>
      </w:r>
      <w:r w:rsidR="004E1BE4">
        <w:t xml:space="preserve"> stock prices of the winners were positive most of the time</w:t>
      </w:r>
      <w:r w:rsidR="00B87206">
        <w:t>. They were</w:t>
      </w:r>
      <w:r w:rsidR="002E15BB">
        <w:t xml:space="preserve"> more consistent than that of the losers. In other way round we can say that the returns and share price of the winners are less volatile than the losers. This confirms the results of the study conduced by Charles P.Jones and Jack W. Wilson</w:t>
      </w:r>
      <w:r w:rsidR="002E7EB9">
        <w:t xml:space="preserve"> mentioned in literature review</w:t>
      </w:r>
      <w:r w:rsidR="002E15BB">
        <w:t>.</w:t>
      </w:r>
    </w:p>
    <w:p w:rsidR="002E15BB" w:rsidRDefault="002E15BB" w:rsidP="003E2086">
      <w:pPr>
        <w:spacing w:before="100" w:beforeAutospacing="1" w:after="100" w:afterAutospacing="1" w:line="360" w:lineRule="auto"/>
        <w:rPr>
          <w:b/>
          <w:sz w:val="28"/>
          <w:szCs w:val="28"/>
        </w:rPr>
      </w:pPr>
      <w:r>
        <w:t>By this discussion we conclude that the prices and returns of the winners are more consistent and less volatile than the losers whose prices and returns vary abruptly and hence not suitable for investing in.</w:t>
      </w:r>
    </w:p>
    <w:p w:rsidR="002E15BB" w:rsidRDefault="002E15BB" w:rsidP="003E2086">
      <w:pPr>
        <w:spacing w:before="100" w:beforeAutospacing="1" w:after="100" w:afterAutospacing="1" w:line="360" w:lineRule="auto"/>
        <w:rPr>
          <w:b/>
          <w:sz w:val="28"/>
          <w:szCs w:val="28"/>
        </w:rPr>
      </w:pPr>
    </w:p>
    <w:p w:rsidR="00C4118C" w:rsidRDefault="00C4118C" w:rsidP="003E2086">
      <w:pPr>
        <w:spacing w:before="100" w:beforeAutospacing="1" w:after="100" w:afterAutospacing="1" w:line="360" w:lineRule="auto"/>
        <w:rPr>
          <w:b/>
          <w:sz w:val="28"/>
          <w:szCs w:val="28"/>
        </w:rPr>
      </w:pPr>
    </w:p>
    <w:p w:rsidR="00C4118C" w:rsidRDefault="00C4118C" w:rsidP="003E2086">
      <w:pPr>
        <w:spacing w:before="100" w:beforeAutospacing="1" w:after="100" w:afterAutospacing="1" w:line="360" w:lineRule="auto"/>
        <w:rPr>
          <w:b/>
          <w:sz w:val="28"/>
          <w:szCs w:val="28"/>
        </w:rPr>
      </w:pPr>
    </w:p>
    <w:p w:rsidR="00C4118C" w:rsidRDefault="00C4118C" w:rsidP="003E2086">
      <w:pPr>
        <w:spacing w:before="100" w:beforeAutospacing="1" w:after="100" w:afterAutospacing="1" w:line="360" w:lineRule="auto"/>
        <w:rPr>
          <w:b/>
          <w:sz w:val="28"/>
          <w:szCs w:val="28"/>
        </w:rPr>
      </w:pPr>
    </w:p>
    <w:p w:rsidR="00176809" w:rsidRPr="00176809" w:rsidRDefault="00176809" w:rsidP="00176809">
      <w:pPr>
        <w:spacing w:line="360" w:lineRule="auto"/>
        <w:rPr>
          <w:b/>
          <w:sz w:val="32"/>
          <w:szCs w:val="32"/>
        </w:rPr>
      </w:pPr>
      <w:r w:rsidRPr="00176809">
        <w:rPr>
          <w:b/>
          <w:sz w:val="32"/>
          <w:szCs w:val="32"/>
        </w:rPr>
        <w:lastRenderedPageBreak/>
        <w:t>Inter quartile range in the returns:</w:t>
      </w:r>
    </w:p>
    <w:p w:rsidR="00450413" w:rsidRDefault="00176809" w:rsidP="001075D3">
      <w:pPr>
        <w:spacing w:line="360" w:lineRule="auto"/>
      </w:pPr>
      <w:r>
        <w:t xml:space="preserve">Inter Quartile Range is a very good and less biased measure of dispersion as compared to arithmetic mean and standard Deviation which are highly sensitive to extreme values </w:t>
      </w:r>
      <w:r w:rsidR="00D02F34">
        <w:t xml:space="preserve">or </w:t>
      </w:r>
      <w:r>
        <w:t>outliers. Table</w:t>
      </w:r>
      <w:r w:rsidR="00C25351">
        <w:t xml:space="preserve"> 4.3</w:t>
      </w:r>
      <w:r>
        <w:t xml:space="preserve"> shows the first quartile</w:t>
      </w:r>
      <w:r w:rsidR="006248C5">
        <w:t>,</w:t>
      </w:r>
      <w:r>
        <w:t xml:space="preserve"> </w:t>
      </w:r>
      <w:r w:rsidR="00450413">
        <w:t>median, 3rd</w:t>
      </w:r>
      <w:r>
        <w:t xml:space="preserve"> Quar</w:t>
      </w:r>
      <w:r w:rsidR="00A73138">
        <w:t>tile and inter quartile range in</w:t>
      </w:r>
      <w:r>
        <w:t xml:space="preserve"> the annual </w:t>
      </w:r>
      <w:r w:rsidR="00D02F34">
        <w:t xml:space="preserve">average </w:t>
      </w:r>
      <w:r w:rsidR="006248C5">
        <w:t>Market Returns from 2001-</w:t>
      </w:r>
      <w:r>
        <w:t>10 for 72 companies.</w:t>
      </w:r>
      <w:r w:rsidR="001075D3" w:rsidRPr="001075D3">
        <w:t xml:space="preserve"> </w:t>
      </w:r>
    </w:p>
    <w:p w:rsidR="001075D3" w:rsidRDefault="001075D3" w:rsidP="001075D3">
      <w:pPr>
        <w:spacing w:line="360" w:lineRule="auto"/>
      </w:pPr>
      <w:r w:rsidRPr="00035ED5">
        <w:t>No</w:t>
      </w:r>
      <w:r w:rsidR="00EB5C56">
        <w:t>w let’s have a discussion on table 4.3</w:t>
      </w:r>
      <w:r>
        <w:t xml:space="preserve"> which shows inter quartile range of the data</w:t>
      </w:r>
      <w:r w:rsidRPr="00176809">
        <w:t xml:space="preserve"> </w:t>
      </w:r>
    </w:p>
    <w:p w:rsidR="00DE402E" w:rsidRPr="00035ED5" w:rsidRDefault="00DE402E" w:rsidP="00176809">
      <w:pPr>
        <w:spacing w:before="100" w:beforeAutospacing="1" w:after="100" w:afterAutospacing="1" w:line="360" w:lineRule="auto"/>
      </w:pPr>
    </w:p>
    <w:p w:rsidR="00AC0D97" w:rsidRDefault="00F85CE6" w:rsidP="003E2086">
      <w:pPr>
        <w:spacing w:before="100" w:beforeAutospacing="1" w:after="100" w:afterAutospacing="1" w:line="360" w:lineRule="auto"/>
        <w:rPr>
          <w:b/>
          <w:sz w:val="28"/>
          <w:szCs w:val="28"/>
        </w:rPr>
      </w:pPr>
      <w:r>
        <w:rPr>
          <w:b/>
          <w:sz w:val="28"/>
          <w:szCs w:val="28"/>
        </w:rPr>
        <w:t>Table 4.3</w:t>
      </w:r>
    </w:p>
    <w:tbl>
      <w:tblPr>
        <w:tblW w:w="8668" w:type="dxa"/>
        <w:tblInd w:w="89" w:type="dxa"/>
        <w:tblLook w:val="0000" w:firstRow="0" w:lastRow="0" w:firstColumn="0" w:lastColumn="0" w:noHBand="0" w:noVBand="0"/>
      </w:tblPr>
      <w:tblGrid>
        <w:gridCol w:w="1569"/>
        <w:gridCol w:w="1569"/>
        <w:gridCol w:w="1569"/>
        <w:gridCol w:w="1569"/>
        <w:gridCol w:w="2392"/>
      </w:tblGrid>
      <w:tr w:rsidR="000759B3">
        <w:trPr>
          <w:trHeight w:val="266"/>
        </w:trPr>
        <w:tc>
          <w:tcPr>
            <w:tcW w:w="1569" w:type="dxa"/>
            <w:tcBorders>
              <w:top w:val="single" w:sz="4" w:space="0" w:color="auto"/>
              <w:left w:val="single" w:sz="4" w:space="0" w:color="auto"/>
              <w:bottom w:val="single" w:sz="4" w:space="0" w:color="auto"/>
              <w:right w:val="single" w:sz="4" w:space="0" w:color="auto"/>
            </w:tcBorders>
            <w:shd w:val="clear" w:color="auto" w:fill="00FF00"/>
            <w:noWrap/>
            <w:vAlign w:val="bottom"/>
          </w:tcPr>
          <w:p w:rsidR="000759B3" w:rsidRDefault="000759B3" w:rsidP="003E2086">
            <w:pPr>
              <w:spacing w:line="360" w:lineRule="auto"/>
              <w:rPr>
                <w:rFonts w:ascii="Arial" w:hAnsi="Arial" w:cs="Arial"/>
                <w:b/>
                <w:bCs/>
                <w:sz w:val="20"/>
                <w:szCs w:val="20"/>
              </w:rPr>
            </w:pPr>
            <w:r>
              <w:rPr>
                <w:rFonts w:ascii="Arial" w:hAnsi="Arial" w:cs="Arial"/>
                <w:b/>
                <w:bCs/>
                <w:sz w:val="20"/>
                <w:szCs w:val="20"/>
              </w:rPr>
              <w:t xml:space="preserve">Cross Sectional Volatility in Market Returns </w:t>
            </w:r>
          </w:p>
        </w:tc>
        <w:tc>
          <w:tcPr>
            <w:tcW w:w="1569" w:type="dxa"/>
            <w:tcBorders>
              <w:left w:val="single" w:sz="4" w:space="0" w:color="auto"/>
              <w:bottom w:val="single" w:sz="4" w:space="0" w:color="auto"/>
            </w:tcBorders>
            <w:shd w:val="clear" w:color="auto" w:fill="auto"/>
            <w:noWrap/>
            <w:vAlign w:val="bottom"/>
          </w:tcPr>
          <w:p w:rsidR="000759B3" w:rsidRDefault="000759B3" w:rsidP="003E2086">
            <w:pPr>
              <w:spacing w:line="360" w:lineRule="auto"/>
              <w:rPr>
                <w:rFonts w:ascii="Arial" w:hAnsi="Arial" w:cs="Arial"/>
                <w:b/>
                <w:bCs/>
                <w:sz w:val="20"/>
                <w:szCs w:val="20"/>
              </w:rPr>
            </w:pPr>
            <w:r>
              <w:rPr>
                <w:rFonts w:ascii="Arial" w:hAnsi="Arial" w:cs="Arial"/>
                <w:b/>
                <w:bCs/>
                <w:sz w:val="20"/>
                <w:szCs w:val="20"/>
              </w:rPr>
              <w:t> </w:t>
            </w:r>
          </w:p>
        </w:tc>
        <w:tc>
          <w:tcPr>
            <w:tcW w:w="1569" w:type="dxa"/>
            <w:tcBorders>
              <w:bottom w:val="single" w:sz="4" w:space="0" w:color="auto"/>
            </w:tcBorders>
            <w:shd w:val="clear" w:color="auto" w:fill="auto"/>
            <w:noWrap/>
            <w:vAlign w:val="bottom"/>
          </w:tcPr>
          <w:p w:rsidR="000759B3" w:rsidRDefault="000759B3" w:rsidP="003E2086">
            <w:pPr>
              <w:spacing w:line="360" w:lineRule="auto"/>
              <w:rPr>
                <w:rFonts w:ascii="Arial" w:hAnsi="Arial" w:cs="Arial"/>
                <w:b/>
                <w:bCs/>
                <w:sz w:val="20"/>
                <w:szCs w:val="20"/>
              </w:rPr>
            </w:pPr>
            <w:r>
              <w:rPr>
                <w:rFonts w:ascii="Arial" w:hAnsi="Arial" w:cs="Arial"/>
                <w:b/>
                <w:bCs/>
                <w:sz w:val="20"/>
                <w:szCs w:val="20"/>
              </w:rPr>
              <w:t> </w:t>
            </w:r>
          </w:p>
        </w:tc>
        <w:tc>
          <w:tcPr>
            <w:tcW w:w="1569" w:type="dxa"/>
            <w:tcBorders>
              <w:bottom w:val="single" w:sz="4" w:space="0" w:color="auto"/>
            </w:tcBorders>
            <w:shd w:val="clear" w:color="auto" w:fill="auto"/>
            <w:noWrap/>
            <w:vAlign w:val="bottom"/>
          </w:tcPr>
          <w:p w:rsidR="000759B3" w:rsidRDefault="000759B3" w:rsidP="003E2086">
            <w:pPr>
              <w:spacing w:line="360" w:lineRule="auto"/>
              <w:rPr>
                <w:rFonts w:ascii="Arial" w:hAnsi="Arial" w:cs="Arial"/>
                <w:b/>
                <w:bCs/>
                <w:sz w:val="20"/>
                <w:szCs w:val="20"/>
              </w:rPr>
            </w:pPr>
            <w:r>
              <w:rPr>
                <w:rFonts w:ascii="Arial" w:hAnsi="Arial" w:cs="Arial"/>
                <w:b/>
                <w:bCs/>
                <w:sz w:val="20"/>
                <w:szCs w:val="20"/>
              </w:rPr>
              <w:t> </w:t>
            </w:r>
          </w:p>
        </w:tc>
        <w:tc>
          <w:tcPr>
            <w:tcW w:w="2392" w:type="dxa"/>
            <w:tcBorders>
              <w:bottom w:val="single" w:sz="4" w:space="0" w:color="auto"/>
            </w:tcBorders>
            <w:shd w:val="clear" w:color="auto" w:fill="auto"/>
            <w:noWrap/>
            <w:vAlign w:val="bottom"/>
          </w:tcPr>
          <w:p w:rsidR="000759B3" w:rsidRDefault="000759B3" w:rsidP="003E2086">
            <w:pPr>
              <w:spacing w:line="360" w:lineRule="auto"/>
              <w:rPr>
                <w:rFonts w:ascii="Arial" w:hAnsi="Arial" w:cs="Arial"/>
                <w:b/>
                <w:bCs/>
                <w:sz w:val="20"/>
                <w:szCs w:val="20"/>
              </w:rPr>
            </w:pPr>
            <w:r>
              <w:rPr>
                <w:rFonts w:ascii="Arial" w:hAnsi="Arial" w:cs="Arial"/>
                <w:b/>
                <w:bCs/>
                <w:sz w:val="20"/>
                <w:szCs w:val="20"/>
              </w:rPr>
              <w:t> </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Years</w:t>
            </w:r>
          </w:p>
        </w:tc>
        <w:tc>
          <w:tcPr>
            <w:tcW w:w="1569" w:type="dxa"/>
            <w:tcBorders>
              <w:top w:val="single" w:sz="4" w:space="0" w:color="auto"/>
              <w:left w:val="nil"/>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1st Quartile</w:t>
            </w:r>
          </w:p>
        </w:tc>
        <w:tc>
          <w:tcPr>
            <w:tcW w:w="1569" w:type="dxa"/>
            <w:tcBorders>
              <w:top w:val="single" w:sz="4" w:space="0" w:color="auto"/>
              <w:left w:val="nil"/>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Median</w:t>
            </w:r>
          </w:p>
        </w:tc>
        <w:tc>
          <w:tcPr>
            <w:tcW w:w="1569" w:type="dxa"/>
            <w:tcBorders>
              <w:top w:val="single" w:sz="4" w:space="0" w:color="auto"/>
              <w:left w:val="nil"/>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3rd Quartile</w:t>
            </w:r>
          </w:p>
        </w:tc>
        <w:tc>
          <w:tcPr>
            <w:tcW w:w="2392" w:type="dxa"/>
            <w:tcBorders>
              <w:top w:val="single" w:sz="4" w:space="0" w:color="auto"/>
              <w:left w:val="nil"/>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 xml:space="preserve">Inter </w:t>
            </w:r>
            <w:smartTag w:uri="urn:schemas-microsoft-com:office:smarttags" w:element="place">
              <w:smartTag w:uri="urn:schemas-microsoft-com:office:smarttags" w:element="PlaceName">
                <w:r>
                  <w:rPr>
                    <w:rFonts w:ascii="Arial" w:hAnsi="Arial" w:cs="Arial"/>
                    <w:sz w:val="20"/>
                    <w:szCs w:val="20"/>
                  </w:rPr>
                  <w:t>Quartile</w:t>
                </w:r>
              </w:smartTag>
              <w:r>
                <w:rPr>
                  <w:rFonts w:ascii="Arial" w:hAnsi="Arial" w:cs="Arial"/>
                  <w:sz w:val="20"/>
                  <w:szCs w:val="20"/>
                </w:rPr>
                <w:t xml:space="preserve"> </w:t>
              </w:r>
              <w:smartTag w:uri="urn:schemas-microsoft-com:office:smarttags" w:element="PlaceType">
                <w:r>
                  <w:rPr>
                    <w:rFonts w:ascii="Arial" w:hAnsi="Arial" w:cs="Arial"/>
                    <w:sz w:val="20"/>
                    <w:szCs w:val="20"/>
                  </w:rPr>
                  <w:t>Range</w:t>
                </w:r>
              </w:smartTag>
            </w:smartTag>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2001</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-27.87%</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-7.53</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10.52%</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38.4</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2002</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34.02%</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77.63</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123.88%</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89.86</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2003</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36.43%</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60.52</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107.96%</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71.52</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2004</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5.09%</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24.54</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68.90%</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63.8</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2005</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0.59%</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23.78</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48.09%</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47.5</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2006</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-28.68%</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-4.5</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13.64%</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42.31</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2007</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3.77%</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28</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78.33%</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74.56</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2008</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-71.58%</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-59.82</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-33.46%</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38.12</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2009</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-19.32%</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11.64</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52.30%</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71.63</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2010</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-24.19%</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-4.44</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10.32%</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34.5</w:t>
            </w:r>
          </w:p>
        </w:tc>
      </w:tr>
      <w:tr w:rsidR="000759B3">
        <w:trPr>
          <w:trHeight w:val="266"/>
        </w:trPr>
        <w:tc>
          <w:tcPr>
            <w:tcW w:w="1569" w:type="dxa"/>
            <w:tcBorders>
              <w:top w:val="nil"/>
              <w:left w:val="single" w:sz="4" w:space="0" w:color="auto"/>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Average</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 </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 </w:t>
            </w:r>
          </w:p>
        </w:tc>
        <w:tc>
          <w:tcPr>
            <w:tcW w:w="1569"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rPr>
                <w:rFonts w:ascii="Arial" w:hAnsi="Arial" w:cs="Arial"/>
                <w:sz w:val="20"/>
                <w:szCs w:val="20"/>
              </w:rPr>
            </w:pPr>
            <w:r>
              <w:rPr>
                <w:rFonts w:ascii="Arial" w:hAnsi="Arial" w:cs="Arial"/>
                <w:sz w:val="20"/>
                <w:szCs w:val="20"/>
              </w:rPr>
              <w:t> </w:t>
            </w:r>
          </w:p>
        </w:tc>
        <w:tc>
          <w:tcPr>
            <w:tcW w:w="2392" w:type="dxa"/>
            <w:tcBorders>
              <w:top w:val="nil"/>
              <w:left w:val="nil"/>
              <w:bottom w:val="single" w:sz="4" w:space="0" w:color="auto"/>
              <w:right w:val="single" w:sz="4" w:space="0" w:color="auto"/>
            </w:tcBorders>
            <w:shd w:val="clear" w:color="auto" w:fill="auto"/>
            <w:noWrap/>
            <w:vAlign w:val="bottom"/>
          </w:tcPr>
          <w:p w:rsidR="000759B3" w:rsidRDefault="000759B3" w:rsidP="003E2086">
            <w:pPr>
              <w:spacing w:line="360" w:lineRule="auto"/>
              <w:jc w:val="right"/>
              <w:rPr>
                <w:rFonts w:ascii="Arial" w:hAnsi="Arial" w:cs="Arial"/>
                <w:sz w:val="20"/>
                <w:szCs w:val="20"/>
              </w:rPr>
            </w:pPr>
            <w:r>
              <w:rPr>
                <w:rFonts w:ascii="Arial" w:hAnsi="Arial" w:cs="Arial"/>
                <w:sz w:val="20"/>
                <w:szCs w:val="20"/>
              </w:rPr>
              <w:t>57.22</w:t>
            </w:r>
          </w:p>
        </w:tc>
      </w:tr>
    </w:tbl>
    <w:p w:rsidR="00D4065C" w:rsidRDefault="00D4065C" w:rsidP="003E2086">
      <w:pPr>
        <w:spacing w:before="100" w:beforeAutospacing="1" w:after="100" w:afterAutospacing="1" w:line="360" w:lineRule="auto"/>
      </w:pPr>
    </w:p>
    <w:p w:rsidR="00D4065C" w:rsidRDefault="00972D90" w:rsidP="003E2086">
      <w:pPr>
        <w:spacing w:line="360" w:lineRule="auto"/>
      </w:pPr>
      <w:r>
        <w:t xml:space="preserve">Table shows over </w:t>
      </w:r>
      <w:r w:rsidR="00D4065C">
        <w:t>the whole data period of 10 Years the average inter quartile range is 57.22%, this shows that an investor could have earn 57.22% greater returns than bottom quartile companies in a randomly chosen year from 2001-10, thus we can say that the average spread in the returns of winners and losers during the whole data period was 57.22%.</w:t>
      </w:r>
    </w:p>
    <w:p w:rsidR="00D4065C" w:rsidRDefault="00D4065C" w:rsidP="003E2086">
      <w:pPr>
        <w:spacing w:line="360" w:lineRule="auto"/>
      </w:pPr>
      <w:r>
        <w:lastRenderedPageBreak/>
        <w:t xml:space="preserve">Over the whole data period of ten years the bottom quartile companies were having </w:t>
      </w:r>
      <w:r w:rsidR="00C466DF">
        <w:t>negative returns five times</w:t>
      </w:r>
      <w:r>
        <w:t xml:space="preserve"> </w:t>
      </w:r>
      <w:r w:rsidR="00C466DF">
        <w:t xml:space="preserve">or </w:t>
      </w:r>
      <w:r>
        <w:t xml:space="preserve">50% of the whole data period. The median stock returns were negative four times </w:t>
      </w:r>
      <w:r w:rsidR="001B6026">
        <w:t xml:space="preserve">or </w:t>
      </w:r>
      <w:r>
        <w:t>40% of the whole data periods</w:t>
      </w:r>
      <w:r w:rsidR="007B6114">
        <w:t>. The</w:t>
      </w:r>
      <w:r>
        <w:t xml:space="preserve"> </w:t>
      </w:r>
      <w:r w:rsidR="00A52A46">
        <w:t xml:space="preserve">top quartile returns </w:t>
      </w:r>
      <w:r>
        <w:t xml:space="preserve">were </w:t>
      </w:r>
      <w:r w:rsidR="00A52A46">
        <w:t xml:space="preserve">negative </w:t>
      </w:r>
      <w:r>
        <w:t xml:space="preserve">only once during the whole data Period </w:t>
      </w:r>
      <w:r w:rsidR="00A52A46">
        <w:t xml:space="preserve">or </w:t>
      </w:r>
      <w:r>
        <w:t>only 10%.</w:t>
      </w:r>
    </w:p>
    <w:p w:rsidR="00D4065C" w:rsidRDefault="00D4065C" w:rsidP="003E2086">
      <w:pPr>
        <w:spacing w:line="360" w:lineRule="auto"/>
      </w:pPr>
      <w:r>
        <w:tab/>
        <w:t>So this study conclude that if an investor could have confined his</w:t>
      </w:r>
      <w:r w:rsidR="00E4730B">
        <w:t xml:space="preserve">/her </w:t>
      </w:r>
      <w:r>
        <w:t xml:space="preserve"> investment successfully to the top quartile he could have face an average risk of 10%  during the whole data period and could have avoided losing years.</w:t>
      </w:r>
    </w:p>
    <w:p w:rsidR="00D4065C" w:rsidRDefault="006B2B0E" w:rsidP="003E2086">
      <w:pPr>
        <w:spacing w:before="100" w:beforeAutospacing="1" w:after="100" w:afterAutospacing="1" w:line="360" w:lineRule="auto"/>
      </w:pPr>
      <w:r>
        <w:t xml:space="preserve">The spread, difference or inter quartile range </w:t>
      </w:r>
      <w:r w:rsidR="007B36B8">
        <w:t xml:space="preserve">between the returns of winners and losers </w:t>
      </w:r>
      <w:r>
        <w:t xml:space="preserve">has been </w:t>
      </w:r>
      <w:r w:rsidR="007B36B8">
        <w:t>graphically represented for the whole data period in the following</w:t>
      </w:r>
      <w:r w:rsidR="009106FA">
        <w:t xml:space="preserve"> </w:t>
      </w:r>
      <w:r w:rsidR="000441C8">
        <w:t>graph.</w:t>
      </w:r>
      <w:r w:rsidR="007B36B8">
        <w:t xml:space="preserve"> </w:t>
      </w:r>
    </w:p>
    <w:p w:rsidR="00F85CE6" w:rsidRPr="000759B3" w:rsidRDefault="002B1411" w:rsidP="003E2086">
      <w:pPr>
        <w:spacing w:before="100" w:beforeAutospacing="1" w:after="100" w:afterAutospacing="1" w:line="360" w:lineRule="auto"/>
        <w:rPr>
          <w:b/>
          <w:sz w:val="28"/>
          <w:szCs w:val="28"/>
        </w:rPr>
      </w:pPr>
      <w:r w:rsidRPr="000759B3">
        <w:rPr>
          <w:noProof/>
        </w:rPr>
        <w:drawing>
          <wp:inline distT="0" distB="0" distL="0" distR="0">
            <wp:extent cx="5934075" cy="408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AE3452" w:rsidRDefault="00AE3452" w:rsidP="003E2086">
      <w:pPr>
        <w:spacing w:before="100" w:beforeAutospacing="1" w:after="100" w:afterAutospacing="1" w:line="360" w:lineRule="auto"/>
        <w:rPr>
          <w:b/>
          <w:sz w:val="28"/>
          <w:szCs w:val="28"/>
        </w:rPr>
      </w:pPr>
    </w:p>
    <w:p w:rsidR="005B2CDA" w:rsidRDefault="005B2CDA" w:rsidP="00307D39">
      <w:pPr>
        <w:spacing w:line="360" w:lineRule="auto"/>
        <w:rPr>
          <w:b/>
          <w:sz w:val="28"/>
          <w:szCs w:val="28"/>
        </w:rPr>
      </w:pPr>
    </w:p>
    <w:p w:rsidR="00A41910" w:rsidRPr="00912503" w:rsidRDefault="00A41910" w:rsidP="00307D39">
      <w:pPr>
        <w:spacing w:line="360" w:lineRule="auto"/>
        <w:rPr>
          <w:b/>
        </w:rPr>
      </w:pPr>
      <w:r w:rsidRPr="00912503">
        <w:rPr>
          <w:b/>
        </w:rPr>
        <w:t xml:space="preserve"> </w:t>
      </w:r>
    </w:p>
    <w:tbl>
      <w:tblPr>
        <w:tblW w:w="10544" w:type="dxa"/>
        <w:tblInd w:w="89" w:type="dxa"/>
        <w:tblLook w:val="0000" w:firstRow="0" w:lastRow="0" w:firstColumn="0" w:lastColumn="0" w:noHBand="0" w:noVBand="0"/>
      </w:tblPr>
      <w:tblGrid>
        <w:gridCol w:w="2347"/>
        <w:gridCol w:w="2031"/>
        <w:gridCol w:w="2011"/>
        <w:gridCol w:w="2058"/>
        <w:gridCol w:w="2097"/>
      </w:tblGrid>
      <w:tr w:rsidR="003522BD">
        <w:trPr>
          <w:trHeight w:val="279"/>
        </w:trPr>
        <w:tc>
          <w:tcPr>
            <w:tcW w:w="6389" w:type="dxa"/>
            <w:gridSpan w:val="3"/>
            <w:tcBorders>
              <w:top w:val="nil"/>
              <w:left w:val="nil"/>
              <w:bottom w:val="single" w:sz="4" w:space="0" w:color="auto"/>
              <w:right w:val="nil"/>
            </w:tcBorders>
            <w:shd w:val="clear" w:color="auto" w:fill="auto"/>
            <w:noWrap/>
            <w:vAlign w:val="bottom"/>
          </w:tcPr>
          <w:p w:rsidR="005D6208" w:rsidRDefault="00307D39" w:rsidP="003E2086">
            <w:pPr>
              <w:spacing w:line="360" w:lineRule="auto"/>
              <w:rPr>
                <w:b/>
              </w:rPr>
            </w:pPr>
            <w:r w:rsidRPr="005B2CDA">
              <w:rPr>
                <w:b/>
              </w:rPr>
              <w:lastRenderedPageBreak/>
              <w:t xml:space="preserve">List </w:t>
            </w:r>
            <w:r w:rsidRPr="005B2CDA">
              <w:rPr>
                <w:rFonts w:ascii="Arial" w:hAnsi="Arial" w:cs="Arial"/>
                <w:b/>
                <w:bCs/>
              </w:rPr>
              <w:t xml:space="preserve"> </w:t>
            </w:r>
            <w:r w:rsidR="003522BD" w:rsidRPr="005B2CDA">
              <w:rPr>
                <w:rFonts w:ascii="Arial" w:hAnsi="Arial" w:cs="Arial"/>
                <w:b/>
                <w:bCs/>
              </w:rPr>
              <w:t xml:space="preserve">Winners with respect </w:t>
            </w:r>
            <w:r w:rsidRPr="005B2CDA">
              <w:rPr>
                <w:rFonts w:ascii="Arial" w:hAnsi="Arial" w:cs="Arial"/>
                <w:b/>
                <w:bCs/>
              </w:rPr>
              <w:t xml:space="preserve">to </w:t>
            </w:r>
            <w:r w:rsidR="003522BD" w:rsidRPr="005B2CDA">
              <w:rPr>
                <w:rFonts w:ascii="Arial" w:hAnsi="Arial" w:cs="Arial"/>
                <w:b/>
                <w:bCs/>
              </w:rPr>
              <w:t>Market Returns</w:t>
            </w:r>
            <w:r w:rsidRPr="005B2CDA">
              <w:rPr>
                <w:rFonts w:ascii="Arial" w:hAnsi="Arial" w:cs="Arial"/>
                <w:b/>
                <w:bCs/>
              </w:rPr>
              <w:t xml:space="preserve"> </w:t>
            </w:r>
            <w:r w:rsidRPr="005B2CDA">
              <w:rPr>
                <w:b/>
              </w:rPr>
              <w:t>from</w:t>
            </w:r>
            <w:r w:rsidR="005D6208" w:rsidRPr="00912503">
              <w:rPr>
                <w:b/>
              </w:rPr>
              <w:t>2001-10</w:t>
            </w:r>
          </w:p>
          <w:p w:rsidR="003522BD" w:rsidRDefault="005D6208" w:rsidP="003E2086">
            <w:pPr>
              <w:spacing w:line="360" w:lineRule="auto"/>
              <w:rPr>
                <w:rFonts w:ascii="Arial" w:hAnsi="Arial" w:cs="Arial"/>
                <w:b/>
                <w:bCs/>
              </w:rPr>
            </w:pPr>
            <w:r>
              <w:rPr>
                <w:b/>
              </w:rPr>
              <w:t xml:space="preserve"> </w:t>
            </w:r>
          </w:p>
        </w:tc>
        <w:tc>
          <w:tcPr>
            <w:tcW w:w="2058" w:type="dxa"/>
            <w:tcBorders>
              <w:top w:val="nil"/>
              <w:left w:val="nil"/>
              <w:bottom w:val="single" w:sz="4" w:space="0" w:color="auto"/>
              <w:right w:val="nil"/>
            </w:tcBorders>
            <w:shd w:val="clear" w:color="auto" w:fill="auto"/>
            <w:noWrap/>
            <w:vAlign w:val="bottom"/>
          </w:tcPr>
          <w:p w:rsidR="003522BD" w:rsidRDefault="003522BD" w:rsidP="003E2086">
            <w:pPr>
              <w:spacing w:line="360" w:lineRule="auto"/>
              <w:rPr>
                <w:rFonts w:ascii="Arial" w:hAnsi="Arial" w:cs="Arial"/>
                <w:sz w:val="20"/>
                <w:szCs w:val="20"/>
              </w:rPr>
            </w:pPr>
          </w:p>
        </w:tc>
        <w:tc>
          <w:tcPr>
            <w:tcW w:w="2097" w:type="dxa"/>
            <w:tcBorders>
              <w:top w:val="nil"/>
              <w:left w:val="nil"/>
              <w:bottom w:val="single" w:sz="4" w:space="0" w:color="auto"/>
              <w:right w:val="nil"/>
            </w:tcBorders>
            <w:shd w:val="clear" w:color="auto" w:fill="auto"/>
            <w:noWrap/>
            <w:vAlign w:val="bottom"/>
          </w:tcPr>
          <w:p w:rsidR="003522BD" w:rsidRDefault="003522BD" w:rsidP="003E2086">
            <w:pPr>
              <w:spacing w:line="360" w:lineRule="auto"/>
              <w:rPr>
                <w:rFonts w:ascii="Arial" w:hAnsi="Arial" w:cs="Arial"/>
                <w:sz w:val="20"/>
                <w:szCs w:val="20"/>
              </w:rPr>
            </w:pPr>
          </w:p>
        </w:tc>
      </w:tr>
      <w:tr w:rsidR="003522BD">
        <w:trPr>
          <w:trHeight w:val="226"/>
        </w:trPr>
        <w:tc>
          <w:tcPr>
            <w:tcW w:w="234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2001</w:t>
            </w:r>
          </w:p>
        </w:tc>
        <w:tc>
          <w:tcPr>
            <w:tcW w:w="2031" w:type="dxa"/>
            <w:tcBorders>
              <w:top w:val="single" w:sz="4" w:space="0" w:color="auto"/>
              <w:left w:val="nil"/>
              <w:bottom w:val="single" w:sz="4" w:space="0" w:color="auto"/>
              <w:right w:val="single" w:sz="4" w:space="0" w:color="auto"/>
            </w:tcBorders>
            <w:shd w:val="clear" w:color="auto" w:fill="CCCCCC"/>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2002</w:t>
            </w:r>
          </w:p>
        </w:tc>
        <w:tc>
          <w:tcPr>
            <w:tcW w:w="2011" w:type="dxa"/>
            <w:tcBorders>
              <w:top w:val="single" w:sz="4" w:space="0" w:color="auto"/>
              <w:left w:val="nil"/>
              <w:bottom w:val="single" w:sz="4" w:space="0" w:color="auto"/>
              <w:right w:val="single" w:sz="4" w:space="0" w:color="auto"/>
            </w:tcBorders>
            <w:shd w:val="clear" w:color="auto" w:fill="CCCCCC"/>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2003</w:t>
            </w:r>
          </w:p>
        </w:tc>
        <w:tc>
          <w:tcPr>
            <w:tcW w:w="2058" w:type="dxa"/>
            <w:tcBorders>
              <w:top w:val="single" w:sz="4" w:space="0" w:color="auto"/>
              <w:left w:val="nil"/>
              <w:bottom w:val="single" w:sz="4" w:space="0" w:color="auto"/>
              <w:right w:val="single" w:sz="4" w:space="0" w:color="auto"/>
            </w:tcBorders>
            <w:shd w:val="clear" w:color="auto" w:fill="CCCCCC"/>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2004</w:t>
            </w:r>
          </w:p>
        </w:tc>
        <w:tc>
          <w:tcPr>
            <w:tcW w:w="2097" w:type="dxa"/>
            <w:tcBorders>
              <w:top w:val="single" w:sz="4" w:space="0" w:color="auto"/>
              <w:left w:val="nil"/>
              <w:bottom w:val="single" w:sz="4" w:space="0" w:color="auto"/>
              <w:right w:val="single" w:sz="4" w:space="0" w:color="auto"/>
            </w:tcBorders>
            <w:shd w:val="clear" w:color="auto" w:fill="CCCCCC"/>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2005</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ICI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Suzuki Motor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Dreamworld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Javedan Cement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Dreamworld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PNSC</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Services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Gharibwal Cement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MCB Bank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Refinery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Elektron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Jahangir Siddiqui &amp;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Abbott Laboratories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Indus Motor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Cables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Nishat Mills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Adamjee Insurance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Mari Gas Co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PIA</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Thal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Lucky Cement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City">
              <w:smartTag w:uri="urn:schemas-microsoft-com:office:smarttags" w:element="place">
                <w:r>
                  <w:rPr>
                    <w:rFonts w:ascii="Arial" w:hAnsi="Arial" w:cs="Arial"/>
                    <w:sz w:val="16"/>
                    <w:szCs w:val="16"/>
                  </w:rPr>
                  <w:t>Cambridge</w:t>
                </w:r>
              </w:smartTag>
            </w:smartTag>
            <w:r>
              <w:rPr>
                <w:rFonts w:ascii="Arial" w:hAnsi="Arial" w:cs="Arial"/>
                <w:sz w:val="16"/>
                <w:szCs w:val="16"/>
              </w:rPr>
              <w:t xml:space="preserve">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Telephone Cables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 G. Khan Cement Co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PNSC</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Refinery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Atlas Honda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Sui Northern Gas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Al-Ghazi Tractors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Tobacco Co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 G. Khan Cement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Services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Kohinoor Energy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Fauji Cement Co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Elektron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Oilfields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Elektron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National Refinery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Indus Motor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Clariant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The Hub Power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Faysal Bank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Cables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Thal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Telephone Cables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Shifa Int. Hospitals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IGI Insurance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Attock Refinery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Faysal Bank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Bata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 G. Khan Cement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Indus Motor Co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Bank of </w:t>
            </w:r>
            <w:smartTag w:uri="urn:schemas-microsoft-com:office:smarttags" w:element="place">
              <w:r>
                <w:rPr>
                  <w:rFonts w:ascii="Arial" w:hAnsi="Arial" w:cs="Arial"/>
                  <w:sz w:val="16"/>
                  <w:szCs w:val="16"/>
                </w:rPr>
                <w:t>Punjab</w:t>
              </w:r>
            </w:smartTag>
            <w:r>
              <w:rPr>
                <w:rFonts w:ascii="Arial" w:hAnsi="Arial" w:cs="Arial"/>
                <w:sz w:val="16"/>
                <w:szCs w:val="16"/>
              </w:rPr>
              <w:t xml:space="preserve">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Mari Gas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New Jubilee Insurance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Oilfields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Shifa Int. Hospitals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Atlas Honda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Attock Refinery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Meezan Bank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Atlas Honda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Bank of </w:t>
            </w:r>
            <w:smartTag w:uri="urn:schemas-microsoft-com:office:smarttags" w:element="place">
              <w:r>
                <w:rPr>
                  <w:rFonts w:ascii="Arial" w:hAnsi="Arial" w:cs="Arial"/>
                  <w:sz w:val="16"/>
                  <w:szCs w:val="16"/>
                </w:rPr>
                <w:t>Punjab</w:t>
              </w:r>
            </w:smartTag>
            <w:r>
              <w:rPr>
                <w:rFonts w:ascii="Arial" w:hAnsi="Arial" w:cs="Arial"/>
                <w:sz w:val="16"/>
                <w:szCs w:val="16"/>
              </w:rPr>
              <w:t xml:space="preserve">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Askari Bank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Bestway Cement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State Oil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Atlas Honda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General Insurance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ICI Pak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Ghani Glass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Tobacco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Lucky Cement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Javedan Cement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Bank of </w:t>
            </w:r>
            <w:smartTag w:uri="urn:schemas-microsoft-com:office:smarttags" w:element="place">
              <w:r>
                <w:rPr>
                  <w:rFonts w:ascii="Arial" w:hAnsi="Arial" w:cs="Arial"/>
                  <w:sz w:val="16"/>
                  <w:szCs w:val="16"/>
                </w:rPr>
                <w:t>Punjab</w:t>
              </w:r>
            </w:smartTag>
            <w:r>
              <w:rPr>
                <w:rFonts w:ascii="Arial" w:hAnsi="Arial" w:cs="Arial"/>
                <w:sz w:val="16"/>
                <w:szCs w:val="16"/>
              </w:rPr>
              <w:t xml:space="preserve">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Nestle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Bestway Cement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Murree Brewery Co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Soneri Bank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Bank of </w:t>
            </w:r>
            <w:smartTag w:uri="urn:schemas-microsoft-com:office:smarttags" w:element="place">
              <w:r>
                <w:rPr>
                  <w:rFonts w:ascii="Arial" w:hAnsi="Arial" w:cs="Arial"/>
                  <w:sz w:val="16"/>
                  <w:szCs w:val="16"/>
                </w:rPr>
                <w:t>Punjab</w:t>
              </w:r>
            </w:smartTag>
            <w:r>
              <w:rPr>
                <w:rFonts w:ascii="Arial" w:hAnsi="Arial" w:cs="Arial"/>
                <w:sz w:val="16"/>
                <w:szCs w:val="16"/>
              </w:rPr>
              <w:t xml:space="preserve">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Jahangir Siddiqui &amp; Co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Murree Brewery Co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Shell Pak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20"/>
                <w:szCs w:val="20"/>
              </w:rPr>
            </w:pPr>
            <w:r>
              <w:rPr>
                <w:rFonts w:ascii="Arial" w:hAnsi="Arial" w:cs="Arial"/>
                <w:sz w:val="20"/>
                <w:szCs w:val="20"/>
              </w:rPr>
              <w:t>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20"/>
                <w:szCs w:val="20"/>
              </w:rPr>
            </w:pPr>
            <w:r>
              <w:rPr>
                <w:rFonts w:ascii="Arial" w:hAnsi="Arial" w:cs="Arial"/>
                <w:sz w:val="20"/>
                <w:szCs w:val="20"/>
              </w:rPr>
              <w:t>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20"/>
                <w:szCs w:val="20"/>
              </w:rPr>
            </w:pPr>
            <w:r>
              <w:rPr>
                <w:rFonts w:ascii="Arial" w:hAnsi="Arial" w:cs="Arial"/>
                <w:sz w:val="20"/>
                <w:szCs w:val="20"/>
              </w:rPr>
              <w:t>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20"/>
                <w:szCs w:val="20"/>
              </w:rPr>
            </w:pPr>
            <w:r>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20"/>
                <w:szCs w:val="20"/>
              </w:rPr>
            </w:pPr>
            <w:r>
              <w:rPr>
                <w:rFonts w:ascii="Arial" w:hAnsi="Arial" w:cs="Arial"/>
                <w:sz w:val="20"/>
                <w:szCs w:val="20"/>
              </w:rPr>
              <w:t> </w:t>
            </w:r>
          </w:p>
        </w:tc>
      </w:tr>
      <w:tr w:rsidR="003522BD">
        <w:trPr>
          <w:trHeight w:val="226"/>
        </w:trPr>
        <w:tc>
          <w:tcPr>
            <w:tcW w:w="234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2006</w:t>
            </w:r>
          </w:p>
        </w:tc>
        <w:tc>
          <w:tcPr>
            <w:tcW w:w="2031" w:type="dxa"/>
            <w:tcBorders>
              <w:top w:val="single" w:sz="4" w:space="0" w:color="auto"/>
              <w:left w:val="nil"/>
              <w:bottom w:val="single" w:sz="4" w:space="0" w:color="auto"/>
              <w:right w:val="single" w:sz="4" w:space="0" w:color="auto"/>
            </w:tcBorders>
            <w:shd w:val="clear" w:color="auto" w:fill="C0C0C0"/>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2007</w:t>
            </w:r>
          </w:p>
        </w:tc>
        <w:tc>
          <w:tcPr>
            <w:tcW w:w="2011" w:type="dxa"/>
            <w:tcBorders>
              <w:top w:val="single" w:sz="4" w:space="0" w:color="auto"/>
              <w:left w:val="nil"/>
              <w:bottom w:val="single" w:sz="4" w:space="0" w:color="auto"/>
              <w:right w:val="single" w:sz="4" w:space="0" w:color="auto"/>
            </w:tcBorders>
            <w:shd w:val="clear" w:color="auto" w:fill="C0C0C0"/>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2008</w:t>
            </w:r>
          </w:p>
        </w:tc>
        <w:tc>
          <w:tcPr>
            <w:tcW w:w="2058" w:type="dxa"/>
            <w:tcBorders>
              <w:top w:val="single" w:sz="4" w:space="0" w:color="auto"/>
              <w:left w:val="nil"/>
              <w:bottom w:val="single" w:sz="4" w:space="0" w:color="auto"/>
              <w:right w:val="single" w:sz="4" w:space="0" w:color="auto"/>
            </w:tcBorders>
            <w:shd w:val="clear" w:color="auto" w:fill="C0C0C0"/>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2009</w:t>
            </w:r>
          </w:p>
        </w:tc>
        <w:tc>
          <w:tcPr>
            <w:tcW w:w="2097" w:type="dxa"/>
            <w:tcBorders>
              <w:top w:val="single" w:sz="4" w:space="0" w:color="auto"/>
              <w:left w:val="nil"/>
              <w:bottom w:val="single" w:sz="4" w:space="0" w:color="auto"/>
              <w:right w:val="single" w:sz="4" w:space="0" w:color="auto"/>
            </w:tcBorders>
            <w:shd w:val="clear" w:color="auto" w:fill="C0C0C0"/>
            <w:noWrap/>
            <w:vAlign w:val="bottom"/>
          </w:tcPr>
          <w:p w:rsidR="003522BD" w:rsidRDefault="003522BD" w:rsidP="003E2086">
            <w:pPr>
              <w:spacing w:line="360" w:lineRule="auto"/>
              <w:jc w:val="right"/>
              <w:rPr>
                <w:rFonts w:ascii="Arial" w:hAnsi="Arial" w:cs="Arial"/>
                <w:sz w:val="20"/>
                <w:szCs w:val="20"/>
              </w:rPr>
            </w:pPr>
            <w:r>
              <w:rPr>
                <w:rFonts w:ascii="Arial" w:hAnsi="Arial" w:cs="Arial"/>
                <w:sz w:val="20"/>
                <w:szCs w:val="20"/>
              </w:rPr>
              <w:t>2010</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Services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Jahangir Siddiqui &amp;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Dreamworld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Nishat Mills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Colgate - Palmolive Pak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Suzuki Motor Co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Telephone Cables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Bata Pak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Millat Tractors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Nestle Pak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Javedan Cement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Bata Pak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Gharibwal Cement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Dreamworld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Unilever Pak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Reinsurance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ICI Pak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Shifa Int. Hospitals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Bata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Attock Refinery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City">
              <w:smartTag w:uri="urn:schemas-microsoft-com:office:smarttags" w:element="place">
                <w:r>
                  <w:rPr>
                    <w:rFonts w:ascii="Arial" w:hAnsi="Arial" w:cs="Arial"/>
                    <w:sz w:val="16"/>
                    <w:szCs w:val="16"/>
                  </w:rPr>
                  <w:t>Cambridge</w:t>
                </w:r>
              </w:smartTag>
            </w:smartTag>
            <w:r>
              <w:rPr>
                <w:rFonts w:ascii="Arial" w:hAnsi="Arial" w:cs="Arial"/>
                <w:sz w:val="16"/>
                <w:szCs w:val="16"/>
              </w:rPr>
              <w:t xml:space="preserve">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Attock Refinery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Sui Southern Gas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IGI Insurance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Javedan Cement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Oilfields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National Refinery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MCB Bank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KASB Bank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The Hub Power Co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Thal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Elektron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New Jubilee Insurance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Atlas Honda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Lucky Cement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Rafhan Maize Products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PNSC</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Al-Ghazi Tractors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State Oil Co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Millat Tractors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Reinsurance Co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Adamjee Insurance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Unilever Pak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Engro Chemical Pak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Indus Motor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General Insurance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Mari Gas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Services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Askari Bank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Oilfields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New Jubilee Insurance Co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Tobacco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Shell Pak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National Refinery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Fauji Fertilizer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Nestle Pak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Meezan Bank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Packages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The Hub Power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Lucky Cement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Clariant Pak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Murree Brewery Co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Siemens (Pak) Engineering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EFU General Insurance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Nestle Pak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MCB Bank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Bestway Cement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Dreamworld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Murree Brewery Co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Pak Tobacco Co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Kohinoor Energy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Ibrahim Fibres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Dawood Hercules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Atlas Honda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Colgate - Palmolive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Indus Motor Co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Lucky Cement </w:t>
            </w:r>
          </w:p>
        </w:tc>
      </w:tr>
      <w:tr w:rsidR="003522BD">
        <w:trPr>
          <w:trHeight w:val="226"/>
        </w:trPr>
        <w:tc>
          <w:tcPr>
            <w:tcW w:w="2347" w:type="dxa"/>
            <w:tcBorders>
              <w:top w:val="nil"/>
              <w:left w:val="single" w:sz="4" w:space="0" w:color="auto"/>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The Hub Power Co </w:t>
            </w:r>
          </w:p>
        </w:tc>
        <w:tc>
          <w:tcPr>
            <w:tcW w:w="203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Nestle Pak </w:t>
            </w:r>
          </w:p>
        </w:tc>
        <w:tc>
          <w:tcPr>
            <w:tcW w:w="2011"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Ibrahim Fibres </w:t>
            </w:r>
          </w:p>
        </w:tc>
        <w:tc>
          <w:tcPr>
            <w:tcW w:w="2058"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D. G. Khan Cement  </w:t>
            </w:r>
          </w:p>
        </w:tc>
        <w:tc>
          <w:tcPr>
            <w:tcW w:w="2097" w:type="dxa"/>
            <w:tcBorders>
              <w:top w:val="nil"/>
              <w:left w:val="nil"/>
              <w:bottom w:val="single" w:sz="4" w:space="0" w:color="auto"/>
              <w:right w:val="single" w:sz="4" w:space="0" w:color="auto"/>
            </w:tcBorders>
            <w:shd w:val="clear" w:color="auto" w:fill="auto"/>
            <w:noWrap/>
            <w:vAlign w:val="bottom"/>
          </w:tcPr>
          <w:p w:rsidR="003522BD" w:rsidRDefault="003522BD" w:rsidP="003E2086">
            <w:pPr>
              <w:spacing w:line="360" w:lineRule="auto"/>
              <w:rPr>
                <w:rFonts w:ascii="Arial" w:hAnsi="Arial" w:cs="Arial"/>
                <w:sz w:val="16"/>
                <w:szCs w:val="16"/>
              </w:rPr>
            </w:pPr>
            <w:r>
              <w:rPr>
                <w:rFonts w:ascii="Arial" w:hAnsi="Arial" w:cs="Arial"/>
                <w:sz w:val="16"/>
                <w:szCs w:val="16"/>
              </w:rPr>
              <w:t xml:space="preserve">Bank Al - Habib  </w:t>
            </w:r>
          </w:p>
        </w:tc>
      </w:tr>
    </w:tbl>
    <w:p w:rsidR="00F764B3" w:rsidRPr="00AA561B" w:rsidRDefault="00F764B3" w:rsidP="00AA561B">
      <w:pPr>
        <w:spacing w:line="360" w:lineRule="auto"/>
      </w:pPr>
    </w:p>
    <w:p w:rsidR="00F764B3" w:rsidRPr="00B22F7F" w:rsidRDefault="00AA561B" w:rsidP="003E2086">
      <w:pPr>
        <w:spacing w:before="100" w:beforeAutospacing="1" w:after="100" w:afterAutospacing="1" w:line="360" w:lineRule="auto"/>
      </w:pPr>
      <w:r w:rsidRPr="00B22F7F">
        <w:lastRenderedPageBreak/>
        <w:t xml:space="preserve">The following table </w:t>
      </w:r>
      <w:r w:rsidR="008325D9">
        <w:t xml:space="preserve">4.3 </w:t>
      </w:r>
      <w:r w:rsidRPr="00B22F7F">
        <w:t>shows the consistency in the returns of winners of 2001</w:t>
      </w:r>
      <w:r w:rsidR="007B5B16">
        <w:t xml:space="preserve">. </w:t>
      </w:r>
      <w:r w:rsidR="00F93E0E">
        <w:t xml:space="preserve">For </w:t>
      </w:r>
      <w:r w:rsidR="007B5B16">
        <w:t xml:space="preserve">developing this table we took the </w:t>
      </w:r>
      <w:r w:rsidR="00F93E0E">
        <w:t>winners</w:t>
      </w:r>
      <w:r w:rsidR="007B5B16">
        <w:t xml:space="preserve"> with respect to market returns in 2001</w:t>
      </w:r>
      <w:r w:rsidR="00F93E0E">
        <w:t xml:space="preserve"> and checked </w:t>
      </w:r>
      <w:r w:rsidR="00E472B0">
        <w:t xml:space="preserve">its repetition as winner </w:t>
      </w:r>
      <w:r w:rsidR="00F93E0E">
        <w:t xml:space="preserve">in the subsequent years </w:t>
      </w:r>
    </w:p>
    <w:p w:rsidR="005D6208" w:rsidRDefault="005D6208" w:rsidP="003E2086">
      <w:pPr>
        <w:spacing w:before="100" w:beforeAutospacing="1" w:after="100" w:afterAutospacing="1" w:line="360" w:lineRule="auto"/>
        <w:rPr>
          <w:b/>
          <w:sz w:val="28"/>
          <w:szCs w:val="28"/>
        </w:rPr>
      </w:pPr>
    </w:p>
    <w:p w:rsidR="00E252B4" w:rsidRDefault="00E252B4" w:rsidP="003E2086">
      <w:pPr>
        <w:spacing w:before="100" w:beforeAutospacing="1" w:after="100" w:afterAutospacing="1" w:line="360" w:lineRule="auto"/>
        <w:rPr>
          <w:b/>
          <w:sz w:val="28"/>
          <w:szCs w:val="28"/>
        </w:rPr>
      </w:pPr>
      <w:r>
        <w:rPr>
          <w:b/>
          <w:sz w:val="28"/>
          <w:szCs w:val="28"/>
        </w:rPr>
        <w:t>Table</w:t>
      </w:r>
      <w:r w:rsidR="00A468A5">
        <w:rPr>
          <w:b/>
          <w:sz w:val="28"/>
          <w:szCs w:val="28"/>
        </w:rPr>
        <w:t xml:space="preserve"> 4.3</w:t>
      </w:r>
    </w:p>
    <w:tbl>
      <w:tblPr>
        <w:tblW w:w="9575" w:type="dxa"/>
        <w:tblInd w:w="89" w:type="dxa"/>
        <w:tblLook w:val="0000" w:firstRow="0" w:lastRow="0" w:firstColumn="0" w:lastColumn="0" w:noHBand="0" w:noVBand="0"/>
      </w:tblPr>
      <w:tblGrid>
        <w:gridCol w:w="3571"/>
        <w:gridCol w:w="1060"/>
        <w:gridCol w:w="1820"/>
        <w:gridCol w:w="1504"/>
        <w:gridCol w:w="1620"/>
      </w:tblGrid>
      <w:tr w:rsidR="00E252B4">
        <w:trPr>
          <w:trHeight w:val="193"/>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Winners Consistency  in Returns</w:t>
            </w:r>
          </w:p>
        </w:tc>
        <w:tc>
          <w:tcPr>
            <w:tcW w:w="1060" w:type="dxa"/>
            <w:tcBorders>
              <w:top w:val="nil"/>
              <w:left w:val="nil"/>
              <w:bottom w:val="nil"/>
              <w:right w:val="nil"/>
            </w:tcBorders>
            <w:shd w:val="clear" w:color="auto" w:fill="auto"/>
            <w:noWrap/>
            <w:vAlign w:val="bottom"/>
          </w:tcPr>
          <w:p w:rsidR="00E252B4" w:rsidRDefault="00E252B4" w:rsidP="003E2086">
            <w:pPr>
              <w:spacing w:line="360" w:lineRule="auto"/>
              <w:rPr>
                <w:rFonts w:ascii="Arial" w:hAnsi="Arial" w:cs="Arial"/>
                <w:sz w:val="20"/>
                <w:szCs w:val="20"/>
              </w:rPr>
            </w:pPr>
          </w:p>
        </w:tc>
        <w:tc>
          <w:tcPr>
            <w:tcW w:w="1820" w:type="dxa"/>
            <w:tcBorders>
              <w:top w:val="nil"/>
              <w:left w:val="nil"/>
              <w:bottom w:val="nil"/>
              <w:right w:val="nil"/>
            </w:tcBorders>
            <w:shd w:val="clear" w:color="auto" w:fill="auto"/>
            <w:noWrap/>
            <w:vAlign w:val="bottom"/>
          </w:tcPr>
          <w:p w:rsidR="00E252B4" w:rsidRDefault="00E252B4" w:rsidP="003E2086">
            <w:pPr>
              <w:spacing w:line="360" w:lineRule="auto"/>
              <w:rPr>
                <w:rFonts w:ascii="Arial" w:hAnsi="Arial" w:cs="Arial"/>
                <w:sz w:val="20"/>
                <w:szCs w:val="20"/>
              </w:rPr>
            </w:pPr>
          </w:p>
        </w:tc>
        <w:tc>
          <w:tcPr>
            <w:tcW w:w="1504" w:type="dxa"/>
            <w:tcBorders>
              <w:top w:val="nil"/>
              <w:left w:val="nil"/>
              <w:bottom w:val="nil"/>
              <w:right w:val="nil"/>
            </w:tcBorders>
            <w:shd w:val="clear" w:color="auto" w:fill="auto"/>
            <w:noWrap/>
            <w:vAlign w:val="bottom"/>
          </w:tcPr>
          <w:p w:rsidR="00E252B4" w:rsidRDefault="00E252B4" w:rsidP="003E2086">
            <w:pPr>
              <w:spacing w:line="360" w:lineRule="auto"/>
              <w:rPr>
                <w:rFonts w:ascii="Arial" w:hAnsi="Arial" w:cs="Arial"/>
                <w:sz w:val="20"/>
                <w:szCs w:val="20"/>
              </w:rPr>
            </w:pPr>
          </w:p>
        </w:tc>
        <w:tc>
          <w:tcPr>
            <w:tcW w:w="1620" w:type="dxa"/>
            <w:tcBorders>
              <w:top w:val="nil"/>
              <w:left w:val="nil"/>
              <w:bottom w:val="nil"/>
              <w:right w:val="nil"/>
            </w:tcBorders>
            <w:shd w:val="clear" w:color="auto" w:fill="auto"/>
            <w:noWrap/>
            <w:vAlign w:val="bottom"/>
          </w:tcPr>
          <w:p w:rsidR="00E252B4" w:rsidRDefault="00E252B4" w:rsidP="003E2086">
            <w:pPr>
              <w:spacing w:line="360" w:lineRule="auto"/>
              <w:rPr>
                <w:rFonts w:ascii="Arial" w:hAnsi="Arial" w:cs="Arial"/>
                <w:sz w:val="20"/>
                <w:szCs w:val="20"/>
              </w:rPr>
            </w:pP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Winners companies</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 xml:space="preserve">Data </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 xml:space="preserve">% Consistency  </w:t>
            </w: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 xml:space="preserve">No of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Consistency</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with respect to</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Period</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 xml:space="preserve">             For</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Repetitions</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in Whole</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Returns in 2001</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One Repetition</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as Winner</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b/>
                <w:bCs/>
                <w:sz w:val="20"/>
                <w:szCs w:val="20"/>
              </w:rPr>
            </w:pPr>
            <w:r>
              <w:rPr>
                <w:rFonts w:ascii="Arial" w:hAnsi="Arial" w:cs="Arial"/>
                <w:b/>
                <w:bCs/>
                <w:sz w:val="20"/>
                <w:szCs w:val="20"/>
              </w:rPr>
              <w:t>Data Period</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ICI </w:t>
            </w:r>
            <w:smartTag w:uri="urn:schemas-microsoft-com:office:smarttags" w:element="place">
              <w:smartTag w:uri="urn:schemas-microsoft-com:office:smarttags" w:element="country-region">
                <w:r>
                  <w:rPr>
                    <w:rFonts w:ascii="Arial" w:hAnsi="Arial" w:cs="Arial"/>
                    <w:sz w:val="16"/>
                    <w:szCs w:val="16"/>
                  </w:rPr>
                  <w:t>Pakistan</w:t>
                </w:r>
              </w:smartTag>
            </w:smartTag>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Dreamworld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Int. Industries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Abbott Lab</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Mari Gas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place">
              <w:smartTag w:uri="urn:schemas-microsoft-com:office:smarttags" w:element="City">
                <w:r>
                  <w:rPr>
                    <w:rFonts w:ascii="Arial" w:hAnsi="Arial" w:cs="Arial"/>
                    <w:sz w:val="16"/>
                    <w:szCs w:val="16"/>
                  </w:rPr>
                  <w:t>Cambridge</w:t>
                </w:r>
              </w:smartTag>
            </w:smartTag>
            <w:r>
              <w:rPr>
                <w:rFonts w:ascii="Arial" w:hAnsi="Arial" w:cs="Arial"/>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Atlas Honda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6</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60%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Services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40%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EFU Life Assurance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Clariant </w:t>
            </w: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Tele Cables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Bata </w:t>
            </w: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40%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New Jubilee Insurance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Meezan Bank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20%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Ghani Glass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 xml:space="preserve">Nestle </w:t>
            </w: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16"/>
                <w:szCs w:val="16"/>
              </w:rPr>
            </w:pPr>
            <w:r>
              <w:rPr>
                <w:rFonts w:ascii="Arial" w:hAnsi="Arial" w:cs="Arial"/>
                <w:sz w:val="16"/>
                <w:szCs w:val="16"/>
              </w:rPr>
              <w:t>Colgate - Palmolive</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10 Years</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10.00%</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50%</w:t>
            </w:r>
          </w:p>
        </w:tc>
      </w:tr>
      <w:tr w:rsidR="00E252B4">
        <w:trPr>
          <w:trHeight w:val="193"/>
        </w:trPr>
        <w:tc>
          <w:tcPr>
            <w:tcW w:w="3571" w:type="dxa"/>
            <w:tcBorders>
              <w:top w:val="nil"/>
              <w:left w:val="single" w:sz="4" w:space="0" w:color="auto"/>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sidRPr="00F764B3">
              <w:rPr>
                <w:rFonts w:ascii="Arial" w:hAnsi="Arial" w:cs="Arial"/>
                <w:sz w:val="16"/>
                <w:szCs w:val="16"/>
              </w:rPr>
              <w:t>Average Consistency in 10 Years</w:t>
            </w:r>
          </w:p>
        </w:tc>
        <w:tc>
          <w:tcPr>
            <w:tcW w:w="106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 </w:t>
            </w:r>
          </w:p>
        </w:tc>
        <w:tc>
          <w:tcPr>
            <w:tcW w:w="1504"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E252B4" w:rsidRDefault="00E252B4" w:rsidP="003E2086">
            <w:pPr>
              <w:spacing w:line="360" w:lineRule="auto"/>
              <w:jc w:val="right"/>
              <w:rPr>
                <w:rFonts w:ascii="Arial" w:hAnsi="Arial" w:cs="Arial"/>
                <w:sz w:val="20"/>
                <w:szCs w:val="20"/>
              </w:rPr>
            </w:pPr>
            <w:r>
              <w:rPr>
                <w:rFonts w:ascii="Arial" w:hAnsi="Arial" w:cs="Arial"/>
                <w:sz w:val="20"/>
                <w:szCs w:val="20"/>
              </w:rPr>
              <w:t>34%</w:t>
            </w:r>
          </w:p>
        </w:tc>
      </w:tr>
    </w:tbl>
    <w:p w:rsidR="00E252B4" w:rsidRDefault="00513A37" w:rsidP="003E2086">
      <w:pPr>
        <w:spacing w:before="100" w:beforeAutospacing="1" w:after="100" w:afterAutospacing="1" w:line="360" w:lineRule="auto"/>
      </w:pPr>
      <w:r w:rsidRPr="00513A37">
        <w:t>This</w:t>
      </w:r>
      <w:r w:rsidR="00444400">
        <w:t xml:space="preserve"> table shows that the average performance cons</w:t>
      </w:r>
      <w:r w:rsidR="00711647">
        <w:t>istency</w:t>
      </w:r>
      <w:r w:rsidR="00421465">
        <w:t xml:space="preserve"> of the</w:t>
      </w:r>
      <w:r w:rsidR="00711647">
        <w:t xml:space="preserve"> </w:t>
      </w:r>
      <w:r w:rsidR="00421465">
        <w:t xml:space="preserve">winners of 2001 </w:t>
      </w:r>
      <w:r w:rsidR="00711647">
        <w:t xml:space="preserve">was only 34%. Among the winners only </w:t>
      </w:r>
      <w:r w:rsidR="008E6E5E">
        <w:t xml:space="preserve">Atlas </w:t>
      </w:r>
      <w:r w:rsidR="00711647">
        <w:t xml:space="preserve">Honda repeated itself 6 times </w:t>
      </w:r>
      <w:r w:rsidR="00B26B2F">
        <w:t xml:space="preserve">as winner </w:t>
      </w:r>
      <w:r w:rsidR="00711647">
        <w:t>or 60%</w:t>
      </w:r>
      <w:r w:rsidRPr="00513A37">
        <w:t xml:space="preserve"> </w:t>
      </w:r>
      <w:r w:rsidR="00B26B2F">
        <w:t>of the whole data period and hence maintained itself 6 times in the upper quartile.</w:t>
      </w:r>
      <w:r w:rsidR="007E2B98">
        <w:t xml:space="preserve"> Dreamworld limited, EFU Life </w:t>
      </w:r>
      <w:r w:rsidR="002A420A">
        <w:lastRenderedPageBreak/>
        <w:t xml:space="preserve">Assurance, Rafhan Maize Products, Nestle </w:t>
      </w:r>
      <w:smartTag w:uri="urn:schemas-microsoft-com:office:smarttags" w:element="country-region">
        <w:r w:rsidR="002A420A">
          <w:t>Pakistan</w:t>
        </w:r>
      </w:smartTag>
      <w:r w:rsidR="002A420A">
        <w:t xml:space="preserve"> limited and </w:t>
      </w:r>
      <w:smartTag w:uri="urn:schemas-microsoft-com:office:smarttags" w:element="place">
        <w:smartTag w:uri="urn:schemas-microsoft-com:office:smarttags" w:element="City">
          <w:r w:rsidR="002A420A">
            <w:t>Colgate-Palmolive</w:t>
          </w:r>
        </w:smartTag>
        <w:r w:rsidR="002A420A">
          <w:t xml:space="preserve"> </w:t>
        </w:r>
        <w:smartTag w:uri="urn:schemas-microsoft-com:office:smarttags" w:element="country-region">
          <w:r w:rsidR="002A420A">
            <w:t>Pakistan</w:t>
          </w:r>
        </w:smartTag>
      </w:smartTag>
      <w:r w:rsidR="002A420A">
        <w:t xml:space="preserve"> were having 50% consistent in their market returns.</w:t>
      </w:r>
    </w:p>
    <w:p w:rsidR="00946218" w:rsidRPr="00513A37" w:rsidRDefault="00946218" w:rsidP="003E2086">
      <w:pPr>
        <w:spacing w:before="100" w:beforeAutospacing="1" w:after="100" w:afterAutospacing="1" w:line="360" w:lineRule="auto"/>
      </w:pPr>
      <w:r>
        <w:t>The following bar chart represents</w:t>
      </w:r>
      <w:r w:rsidR="002B377E">
        <w:t xml:space="preserve"> consistency in the returns of winners in 2001.</w:t>
      </w:r>
    </w:p>
    <w:p w:rsidR="00E252B4" w:rsidRDefault="002B1411" w:rsidP="003E2086">
      <w:pPr>
        <w:spacing w:before="100" w:beforeAutospacing="1" w:after="100" w:afterAutospacing="1" w:line="360" w:lineRule="auto"/>
        <w:rPr>
          <w:b/>
          <w:sz w:val="28"/>
          <w:szCs w:val="28"/>
        </w:rPr>
      </w:pPr>
      <w:r w:rsidRPr="00A41910">
        <w:rPr>
          <w:noProof/>
        </w:rPr>
        <w:drawing>
          <wp:inline distT="0" distB="0" distL="0" distR="0">
            <wp:extent cx="5934075" cy="408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3522BD" w:rsidRDefault="003522BD" w:rsidP="003E2086">
      <w:pPr>
        <w:spacing w:before="100" w:beforeAutospacing="1" w:after="100" w:afterAutospacing="1" w:line="360" w:lineRule="auto"/>
        <w:rPr>
          <w:b/>
          <w:sz w:val="28"/>
          <w:szCs w:val="28"/>
        </w:rPr>
      </w:pPr>
    </w:p>
    <w:p w:rsidR="00F85CE6" w:rsidRDefault="00F85CE6" w:rsidP="003E2086">
      <w:pPr>
        <w:spacing w:before="100" w:beforeAutospacing="1" w:after="100" w:afterAutospacing="1" w:line="360" w:lineRule="auto"/>
        <w:rPr>
          <w:b/>
          <w:sz w:val="28"/>
          <w:szCs w:val="28"/>
        </w:rPr>
      </w:pPr>
    </w:p>
    <w:p w:rsidR="00F85CE6" w:rsidRDefault="00F85CE6" w:rsidP="003E2086">
      <w:pPr>
        <w:spacing w:before="100" w:beforeAutospacing="1" w:after="100" w:afterAutospacing="1" w:line="360" w:lineRule="auto"/>
        <w:rPr>
          <w:b/>
          <w:sz w:val="28"/>
          <w:szCs w:val="28"/>
        </w:rPr>
      </w:pPr>
    </w:p>
    <w:p w:rsidR="00AC0D97" w:rsidRDefault="00AC0D97" w:rsidP="003E2086">
      <w:pPr>
        <w:spacing w:before="100" w:beforeAutospacing="1" w:after="100" w:afterAutospacing="1" w:line="360" w:lineRule="auto"/>
        <w:rPr>
          <w:b/>
          <w:sz w:val="28"/>
          <w:szCs w:val="28"/>
        </w:rPr>
      </w:pPr>
    </w:p>
    <w:p w:rsidR="006353AC" w:rsidRDefault="006353AC" w:rsidP="003E2086">
      <w:pPr>
        <w:spacing w:before="100" w:beforeAutospacing="1" w:after="100" w:afterAutospacing="1" w:line="360" w:lineRule="auto"/>
        <w:rPr>
          <w:b/>
          <w:sz w:val="28"/>
          <w:szCs w:val="28"/>
        </w:rPr>
      </w:pPr>
    </w:p>
    <w:p w:rsidR="00A46838" w:rsidRDefault="00A46838" w:rsidP="003E2086">
      <w:pPr>
        <w:spacing w:before="100" w:beforeAutospacing="1" w:after="100" w:afterAutospacing="1" w:line="360" w:lineRule="auto"/>
      </w:pPr>
    </w:p>
    <w:p w:rsidR="0060151D" w:rsidRPr="00994C7C" w:rsidRDefault="0060151D" w:rsidP="003E2086">
      <w:pPr>
        <w:spacing w:before="100" w:beforeAutospacing="1" w:after="100" w:afterAutospacing="1" w:line="360" w:lineRule="auto"/>
      </w:pPr>
    </w:p>
    <w:p w:rsidR="00F764B3" w:rsidRDefault="00F764B3" w:rsidP="003E2086">
      <w:pPr>
        <w:spacing w:before="100" w:beforeAutospacing="1" w:after="100" w:afterAutospacing="1" w:line="360" w:lineRule="auto"/>
        <w:rPr>
          <w:b/>
          <w:sz w:val="28"/>
          <w:szCs w:val="28"/>
        </w:rPr>
      </w:pPr>
    </w:p>
    <w:p w:rsidR="00D318DD" w:rsidRDefault="00536A13" w:rsidP="003E2086">
      <w:pPr>
        <w:spacing w:before="100" w:beforeAutospacing="1" w:after="100" w:afterAutospacing="1" w:line="360" w:lineRule="auto"/>
        <w:rPr>
          <w:b/>
          <w:sz w:val="28"/>
          <w:szCs w:val="28"/>
        </w:rPr>
      </w:pPr>
      <w:r>
        <w:rPr>
          <w:b/>
          <w:sz w:val="28"/>
          <w:szCs w:val="28"/>
        </w:rPr>
        <w:t>Chapter 05</w:t>
      </w:r>
    </w:p>
    <w:p w:rsidR="009E2675" w:rsidRDefault="00536A13" w:rsidP="003E2086">
      <w:pPr>
        <w:spacing w:before="100" w:beforeAutospacing="1" w:after="100" w:afterAutospacing="1" w:line="360" w:lineRule="auto"/>
        <w:rPr>
          <w:b/>
          <w:sz w:val="28"/>
          <w:szCs w:val="28"/>
        </w:rPr>
      </w:pPr>
      <w:r>
        <w:rPr>
          <w:b/>
          <w:sz w:val="28"/>
          <w:szCs w:val="28"/>
        </w:rPr>
        <w:t xml:space="preserve">Data </w:t>
      </w:r>
      <w:r w:rsidR="00B345B1">
        <w:rPr>
          <w:b/>
          <w:sz w:val="28"/>
          <w:szCs w:val="28"/>
        </w:rPr>
        <w:t>A</w:t>
      </w:r>
      <w:r>
        <w:rPr>
          <w:b/>
          <w:sz w:val="28"/>
          <w:szCs w:val="28"/>
        </w:rPr>
        <w:t>nalysis of ROA</w:t>
      </w:r>
    </w:p>
    <w:p w:rsidR="005D07DA" w:rsidRDefault="003B56A4" w:rsidP="003E2086">
      <w:pPr>
        <w:spacing w:before="100" w:beforeAutospacing="1" w:after="100" w:afterAutospacing="1" w:line="360" w:lineRule="auto"/>
        <w:rPr>
          <w:b/>
          <w:sz w:val="28"/>
          <w:szCs w:val="28"/>
        </w:rPr>
      </w:pPr>
      <w:r>
        <w:rPr>
          <w:b/>
          <w:sz w:val="28"/>
          <w:szCs w:val="28"/>
        </w:rPr>
        <w:t>Data Handling and procedure followed:</w:t>
      </w:r>
    </w:p>
    <w:p w:rsidR="003B56A4" w:rsidRDefault="00AC04BF" w:rsidP="003E2086">
      <w:pPr>
        <w:spacing w:before="100" w:beforeAutospacing="1" w:after="100" w:afterAutospacing="1" w:line="360" w:lineRule="auto"/>
      </w:pPr>
      <w:r w:rsidRPr="00673DD2">
        <w:t>For</w:t>
      </w:r>
      <w:r w:rsidR="00673DD2">
        <w:rPr>
          <w:b/>
          <w:sz w:val="28"/>
          <w:szCs w:val="28"/>
        </w:rPr>
        <w:t xml:space="preserve"> </w:t>
      </w:r>
      <w:r w:rsidR="00673DD2">
        <w:t xml:space="preserve">calculating </w:t>
      </w:r>
      <w:r w:rsidR="003B56A4">
        <w:t>ROA</w:t>
      </w:r>
      <w:r w:rsidR="00403464" w:rsidRPr="00403464">
        <w:rPr>
          <w:b/>
        </w:rPr>
        <w:t>/</w:t>
      </w:r>
      <w:r w:rsidR="00403464" w:rsidRPr="00403464">
        <w:t>RONW</w:t>
      </w:r>
      <w:r w:rsidR="00403464">
        <w:rPr>
          <w:rStyle w:val="FootnoteReference"/>
        </w:rPr>
        <w:footnoteReference w:customMarkFollows="1" w:id="3"/>
        <w:t>1</w:t>
      </w:r>
      <w:r w:rsidR="003B56A4">
        <w:t xml:space="preserve"> First of all we collected the data </w:t>
      </w:r>
      <w:r w:rsidR="000550BB">
        <w:t xml:space="preserve">from the KSE website and annual reports of the respective companies </w:t>
      </w:r>
      <w:r w:rsidR="003B56A4">
        <w:t>for its basic inputs which are</w:t>
      </w:r>
    </w:p>
    <w:p w:rsidR="003B56A4" w:rsidRDefault="003B56A4" w:rsidP="003E2086">
      <w:pPr>
        <w:numPr>
          <w:ilvl w:val="0"/>
          <w:numId w:val="16"/>
        </w:numPr>
        <w:spacing w:before="100" w:beforeAutospacing="1" w:after="100" w:afterAutospacing="1" w:line="360" w:lineRule="auto"/>
      </w:pPr>
      <w:r>
        <w:t>Total assets f</w:t>
      </w:r>
      <w:r w:rsidR="005D07DA">
        <w:t>or all the 72 companies</w:t>
      </w:r>
    </w:p>
    <w:p w:rsidR="005D07DA" w:rsidRDefault="005D07DA" w:rsidP="003E2086">
      <w:pPr>
        <w:numPr>
          <w:ilvl w:val="0"/>
          <w:numId w:val="16"/>
        </w:numPr>
        <w:spacing w:before="100" w:beforeAutospacing="1" w:after="100" w:afterAutospacing="1" w:line="360" w:lineRule="auto"/>
      </w:pPr>
      <w:r>
        <w:t xml:space="preserve">Profit after tax            </w:t>
      </w:r>
    </w:p>
    <w:p w:rsidR="005D07DA" w:rsidRDefault="005D07DA" w:rsidP="003E2086">
      <w:pPr>
        <w:spacing w:before="100" w:beforeAutospacing="1" w:after="100" w:afterAutospacing="1" w:line="360" w:lineRule="auto"/>
      </w:pPr>
      <w:r>
        <w:t>.</w:t>
      </w:r>
      <w:r w:rsidR="00465342">
        <w:t xml:space="preserve">For </w:t>
      </w:r>
      <w:r>
        <w:t>calculating ROA the following formula was used.</w:t>
      </w:r>
    </w:p>
    <w:p w:rsidR="005D07DA" w:rsidRPr="002B1411" w:rsidRDefault="002B1411" w:rsidP="003E2086">
      <w:pPr>
        <w:spacing w:before="100" w:beforeAutospacing="1" w:after="100" w:afterAutospacing="1" w:line="360" w:lineRule="auto"/>
      </w:pPr>
      <m:oMathPara>
        <m:oMath>
          <m:r>
            <w:rPr>
              <w:rFonts w:ascii="Cambria Math" w:hAnsi="Cambria Math"/>
            </w:rPr>
            <m:t>ROA or RONW=Net</m:t>
          </m:r>
          <m:r>
            <m:rPr>
              <m:sty m:val="p"/>
            </m:rPr>
            <w:rPr>
              <w:rFonts w:ascii="Cambria Math" w:hAnsi="Cambria Math"/>
            </w:rPr>
            <m:t xml:space="preserve"> </m:t>
          </m:r>
          <m:r>
            <w:rPr>
              <w:rFonts w:ascii="Cambria Math" w:hAnsi="Cambria Math"/>
            </w:rPr>
            <m:t>Income/Total Assets</m:t>
          </m:r>
        </m:oMath>
      </m:oMathPara>
    </w:p>
    <w:p w:rsidR="005D07DA" w:rsidRDefault="00B57D77" w:rsidP="003E2086">
      <w:pPr>
        <w:spacing w:before="100" w:beforeAutospacing="1" w:after="100" w:afterAutospacing="1" w:line="360" w:lineRule="auto"/>
      </w:pPr>
      <w:r>
        <w:t>Using the above formula we calculated ROA’s for all th</w:t>
      </w:r>
      <w:r w:rsidR="001239C6">
        <w:t>e 72 companies from 2001 to 2010</w:t>
      </w:r>
      <w:r>
        <w:t xml:space="preserve">. </w:t>
      </w:r>
      <w:r w:rsidR="005D07DA">
        <w:t xml:space="preserve">All the 72 </w:t>
      </w:r>
      <w:r w:rsidR="00BF046D">
        <w:t>companies</w:t>
      </w:r>
      <w:r w:rsidR="005D07DA">
        <w:t xml:space="preserve"> were arranged in the descending order of their ROA’s the top 18 companies with the highest ROA’s were selected as winners </w:t>
      </w:r>
      <w:r w:rsidR="001D49B7">
        <w:t xml:space="preserve">in the top quartile </w:t>
      </w:r>
      <w:r w:rsidR="005D07DA">
        <w:t>and 18 companies with the lowes</w:t>
      </w:r>
      <w:r w:rsidR="001D49B7">
        <w:t>t</w:t>
      </w:r>
      <w:r w:rsidR="005D07DA">
        <w:t xml:space="preserve"> ROA’s were selected as losers</w:t>
      </w:r>
      <w:r w:rsidR="001D49B7">
        <w:t xml:space="preserve"> in the lower quartile</w:t>
      </w:r>
      <w:r w:rsidR="005D07DA">
        <w:t>.</w:t>
      </w:r>
    </w:p>
    <w:p w:rsidR="00546007" w:rsidRDefault="00546007" w:rsidP="003E2086">
      <w:pPr>
        <w:spacing w:before="100" w:beforeAutospacing="1" w:after="100" w:afterAutospacing="1" w:line="360" w:lineRule="auto"/>
        <w:rPr>
          <w:b/>
          <w:sz w:val="30"/>
        </w:rPr>
      </w:pPr>
    </w:p>
    <w:p w:rsidR="00546007" w:rsidRDefault="00546007" w:rsidP="003E2086">
      <w:pPr>
        <w:spacing w:before="100" w:beforeAutospacing="1" w:after="100" w:afterAutospacing="1" w:line="360" w:lineRule="auto"/>
        <w:rPr>
          <w:b/>
          <w:sz w:val="30"/>
        </w:rPr>
      </w:pPr>
    </w:p>
    <w:p w:rsidR="00546007" w:rsidRDefault="00546007" w:rsidP="003E2086">
      <w:pPr>
        <w:spacing w:before="100" w:beforeAutospacing="1" w:after="100" w:afterAutospacing="1" w:line="360" w:lineRule="auto"/>
        <w:rPr>
          <w:b/>
          <w:sz w:val="30"/>
        </w:rPr>
      </w:pPr>
    </w:p>
    <w:p w:rsidR="00546007" w:rsidRDefault="00546007" w:rsidP="003E2086">
      <w:pPr>
        <w:spacing w:before="100" w:beforeAutospacing="1" w:after="100" w:afterAutospacing="1" w:line="360" w:lineRule="auto"/>
        <w:rPr>
          <w:b/>
          <w:sz w:val="30"/>
        </w:rPr>
      </w:pPr>
    </w:p>
    <w:p w:rsidR="006726EB" w:rsidRDefault="001821E9" w:rsidP="006726EB">
      <w:pPr>
        <w:spacing w:before="100" w:beforeAutospacing="1" w:after="100" w:afterAutospacing="1" w:line="360" w:lineRule="auto"/>
      </w:pPr>
      <w:r w:rsidRPr="001821E9">
        <w:lastRenderedPageBreak/>
        <w:t xml:space="preserve">Table </w:t>
      </w:r>
      <w:r w:rsidR="006726EB">
        <w:t>5.1 explains the variability in the average ROA of winners.</w:t>
      </w:r>
    </w:p>
    <w:p w:rsidR="005D07DA" w:rsidRPr="00513B31" w:rsidRDefault="00513B31" w:rsidP="003E2086">
      <w:pPr>
        <w:spacing w:before="100" w:beforeAutospacing="1" w:after="100" w:afterAutospacing="1" w:line="360" w:lineRule="auto"/>
        <w:rPr>
          <w:b/>
          <w:sz w:val="30"/>
        </w:rPr>
      </w:pPr>
      <w:r w:rsidRPr="00513B31">
        <w:rPr>
          <w:b/>
          <w:sz w:val="30"/>
        </w:rPr>
        <w:t>Table5.1</w:t>
      </w:r>
    </w:p>
    <w:tbl>
      <w:tblPr>
        <w:tblW w:w="9590" w:type="dxa"/>
        <w:tblInd w:w="89" w:type="dxa"/>
        <w:tblLook w:val="0000" w:firstRow="0" w:lastRow="0" w:firstColumn="0" w:lastColumn="0" w:noHBand="0" w:noVBand="0"/>
      </w:tblPr>
      <w:tblGrid>
        <w:gridCol w:w="2819"/>
        <w:gridCol w:w="1396"/>
        <w:gridCol w:w="2714"/>
        <w:gridCol w:w="2661"/>
      </w:tblGrid>
      <w:tr w:rsidR="00513B31">
        <w:trPr>
          <w:trHeight w:val="266"/>
        </w:trPr>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b/>
                <w:bCs/>
                <w:sz w:val="20"/>
                <w:szCs w:val="20"/>
              </w:rPr>
            </w:pPr>
            <w:r>
              <w:rPr>
                <w:rFonts w:ascii="Arial" w:hAnsi="Arial" w:cs="Arial"/>
                <w:b/>
                <w:bCs/>
                <w:sz w:val="20"/>
                <w:szCs w:val="20"/>
              </w:rPr>
              <w:t>Winners WRT ROA</w:t>
            </w:r>
          </w:p>
        </w:tc>
        <w:tc>
          <w:tcPr>
            <w:tcW w:w="1396"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b/>
                <w:bCs/>
                <w:sz w:val="20"/>
                <w:szCs w:val="20"/>
              </w:rPr>
            </w:pPr>
            <w:r>
              <w:rPr>
                <w:rFonts w:ascii="Arial" w:hAnsi="Arial" w:cs="Arial"/>
                <w:b/>
                <w:bCs/>
                <w:sz w:val="20"/>
                <w:szCs w:val="20"/>
              </w:rPr>
              <w:t> </w:t>
            </w:r>
          </w:p>
        </w:tc>
        <w:tc>
          <w:tcPr>
            <w:tcW w:w="2714"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b/>
                <w:bCs/>
                <w:sz w:val="20"/>
                <w:szCs w:val="20"/>
              </w:rPr>
            </w:pPr>
            <w:r>
              <w:rPr>
                <w:rFonts w:ascii="Arial" w:hAnsi="Arial" w:cs="Arial"/>
                <w:b/>
                <w:bCs/>
                <w:sz w:val="20"/>
                <w:szCs w:val="20"/>
              </w:rPr>
              <w:t> </w:t>
            </w:r>
          </w:p>
        </w:tc>
        <w:tc>
          <w:tcPr>
            <w:tcW w:w="2661"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 </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years</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Av.ROA</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St.Deviation in ROA</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Coefficient of variation</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2001</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18.69%</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6.08%</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0.33</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2002</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20.08%</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56.36%</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0.28</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2003</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21.45%</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5.23%</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0.24</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2004</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22.32%</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8.44%</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0.38</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2005</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21.95%</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45.63%</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0.21</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2006</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25.53%</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12.59%</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0.49</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2007</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27.80%</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13.69%</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0.49</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2008</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20.55%</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8.25%</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0.40</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2009</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17.36%</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5.26%</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0.30</w:t>
            </w:r>
          </w:p>
        </w:tc>
      </w:tr>
      <w:tr w:rsidR="00513B31">
        <w:trPr>
          <w:trHeight w:val="266"/>
        </w:trPr>
        <w:tc>
          <w:tcPr>
            <w:tcW w:w="2819"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2010</w:t>
            </w:r>
          </w:p>
        </w:tc>
        <w:tc>
          <w:tcPr>
            <w:tcW w:w="1396"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19.56%</w:t>
            </w:r>
          </w:p>
        </w:tc>
        <w:tc>
          <w:tcPr>
            <w:tcW w:w="2714"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6.20%</w:t>
            </w:r>
          </w:p>
        </w:tc>
        <w:tc>
          <w:tcPr>
            <w:tcW w:w="2661"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0.32</w:t>
            </w:r>
          </w:p>
        </w:tc>
      </w:tr>
    </w:tbl>
    <w:p w:rsidR="008D45EB" w:rsidRDefault="003A2897" w:rsidP="003A2897">
      <w:pPr>
        <w:spacing w:before="100" w:beforeAutospacing="1" w:after="100" w:afterAutospacing="1" w:line="360" w:lineRule="auto"/>
      </w:pPr>
      <w:r w:rsidRPr="00210E9D">
        <w:t xml:space="preserve">This </w:t>
      </w:r>
      <w:r>
        <w:t xml:space="preserve">table shows that the </w:t>
      </w:r>
      <w:r w:rsidR="00586854">
        <w:t xml:space="preserve">average ROA </w:t>
      </w:r>
      <w:r w:rsidR="003F3DC4">
        <w:t xml:space="preserve">of </w:t>
      </w:r>
      <w:r w:rsidR="00586854">
        <w:t>winn</w:t>
      </w:r>
      <w:r w:rsidR="000311F2">
        <w:t>ers Increased from 2001 to 2004 gradually but slightly decreased in 2005 and took</w:t>
      </w:r>
      <w:r w:rsidR="003F3DC4">
        <w:t xml:space="preserve"> this losing</w:t>
      </w:r>
      <w:r w:rsidR="000311F2">
        <w:t xml:space="preserve"> momentum for the next two years. However in 2008</w:t>
      </w:r>
      <w:r w:rsidR="009370E3">
        <w:t xml:space="preserve"> and 2009</w:t>
      </w:r>
      <w:r w:rsidR="000311F2">
        <w:t xml:space="preserve"> due to political instability when most of the companies were experiencing losses </w:t>
      </w:r>
      <w:r w:rsidR="009370E3">
        <w:t>these winners</w:t>
      </w:r>
      <w:r w:rsidR="000311F2">
        <w:t xml:space="preserve"> also could not avoid the curse</w:t>
      </w:r>
      <w:r w:rsidR="009370E3">
        <w:t xml:space="preserve">. </w:t>
      </w:r>
      <w:r w:rsidR="008D45EB">
        <w:t xml:space="preserve">The point to be noted here is that during the whole data period its average ROA was </w:t>
      </w:r>
      <w:r w:rsidR="00944D46">
        <w:t>21.53%.</w:t>
      </w:r>
      <w:r w:rsidR="00A8663C">
        <w:t xml:space="preserve"> the average ROA of winners was positive all the years and hence 100% of the time.</w:t>
      </w:r>
    </w:p>
    <w:p w:rsidR="003A2897" w:rsidRDefault="003A2897" w:rsidP="003A2897">
      <w:pPr>
        <w:spacing w:before="100" w:beforeAutospacing="1" w:after="100" w:afterAutospacing="1" w:line="360" w:lineRule="auto"/>
      </w:pPr>
      <w:r>
        <w:t xml:space="preserve">The bar chart shows the average annual </w:t>
      </w:r>
      <w:r w:rsidR="00944D46">
        <w:t>ROA of t</w:t>
      </w:r>
      <w:r w:rsidR="0037338A">
        <w:t>he winners from 2001 to 2010.</w:t>
      </w:r>
    </w:p>
    <w:p w:rsidR="003B3232" w:rsidRDefault="003B3232" w:rsidP="003E2086">
      <w:pPr>
        <w:spacing w:before="100" w:beforeAutospacing="1" w:after="100" w:afterAutospacing="1" w:line="360" w:lineRule="auto"/>
      </w:pPr>
    </w:p>
    <w:p w:rsidR="003B3232" w:rsidRDefault="003B3232" w:rsidP="003E2086">
      <w:pPr>
        <w:spacing w:before="100" w:beforeAutospacing="1" w:after="100" w:afterAutospacing="1" w:line="360" w:lineRule="auto"/>
      </w:pPr>
    </w:p>
    <w:p w:rsidR="0037338A" w:rsidRDefault="002B1411" w:rsidP="003E2086">
      <w:pPr>
        <w:spacing w:before="100" w:beforeAutospacing="1" w:after="100" w:afterAutospacing="1" w:line="360" w:lineRule="auto"/>
      </w:pPr>
      <w:r w:rsidRPr="00513B31">
        <w:rPr>
          <w:noProof/>
        </w:rPr>
        <w:lastRenderedPageBreak/>
        <w:drawing>
          <wp:inline distT="0" distB="0" distL="0" distR="0">
            <wp:extent cx="5934075" cy="4086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37338A" w:rsidRPr="0037338A" w:rsidRDefault="0037338A" w:rsidP="0037338A">
      <w:r>
        <w:t>The next line graph shows the standard deviation in the ROA of winners. But as we want to compare the volatility in the average ROA of winners and losers here, there better the have a look on co efficient of variation of both winners and losers.</w:t>
      </w:r>
    </w:p>
    <w:p w:rsidR="0037338A" w:rsidRPr="0037338A" w:rsidRDefault="0037338A" w:rsidP="0037338A"/>
    <w:p w:rsidR="0037338A" w:rsidRPr="0037338A" w:rsidRDefault="0037338A" w:rsidP="0037338A"/>
    <w:p w:rsidR="0037338A" w:rsidRPr="0037338A" w:rsidRDefault="0037338A" w:rsidP="0037338A"/>
    <w:p w:rsidR="0037338A" w:rsidRPr="0037338A" w:rsidRDefault="002B1411" w:rsidP="0037338A">
      <w:r w:rsidRPr="00513B31">
        <w:rPr>
          <w:noProof/>
        </w:rPr>
        <w:lastRenderedPageBreak/>
        <w:drawing>
          <wp:inline distT="0" distB="0" distL="0" distR="0">
            <wp:extent cx="5934075" cy="4086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37338A" w:rsidRPr="0037338A" w:rsidRDefault="0037338A" w:rsidP="0037338A"/>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513B31" w:rsidRDefault="0037338A" w:rsidP="003E2086">
      <w:pPr>
        <w:spacing w:before="100" w:beforeAutospacing="1" w:after="100" w:afterAutospacing="1" w:line="360" w:lineRule="auto"/>
      </w:pPr>
      <w:r>
        <w:lastRenderedPageBreak/>
        <w:t xml:space="preserve">The coefficient of variation in the </w:t>
      </w:r>
      <w:r w:rsidR="00BA0EE2">
        <w:t xml:space="preserve">average </w:t>
      </w:r>
      <w:r w:rsidR="006F5FB6">
        <w:t xml:space="preserve">ROA </w:t>
      </w:r>
      <w:r>
        <w:t xml:space="preserve">of the winners </w:t>
      </w:r>
      <w:r w:rsidR="00F40662">
        <w:t xml:space="preserve">was 34.4%. </w:t>
      </w:r>
      <w:r w:rsidR="00621555">
        <w:t>The</w:t>
      </w:r>
      <w:r w:rsidR="00F40662">
        <w:t xml:space="preserve"> variation in years from 2001 to 2005 was less as compare to rest of the years.</w:t>
      </w:r>
    </w:p>
    <w:p w:rsidR="00A06B8C" w:rsidRDefault="00A06B8C" w:rsidP="003E2086">
      <w:pPr>
        <w:spacing w:before="100" w:beforeAutospacing="1" w:after="100" w:afterAutospacing="1" w:line="360" w:lineRule="auto"/>
      </w:pPr>
      <w:r>
        <w:t>The following chart shows the variation in the</w:t>
      </w:r>
      <w:r w:rsidR="00F35966">
        <w:t xml:space="preserve"> ROA of winners.</w:t>
      </w:r>
    </w:p>
    <w:p w:rsidR="003F33D3" w:rsidRDefault="003F33D3" w:rsidP="003E2086">
      <w:pPr>
        <w:spacing w:before="100" w:beforeAutospacing="1" w:after="100" w:afterAutospacing="1" w:line="360" w:lineRule="auto"/>
      </w:pPr>
    </w:p>
    <w:p w:rsidR="003F33D3" w:rsidRDefault="003F33D3" w:rsidP="003E2086">
      <w:pPr>
        <w:spacing w:before="100" w:beforeAutospacing="1" w:after="100" w:afterAutospacing="1" w:line="360" w:lineRule="auto"/>
      </w:pPr>
    </w:p>
    <w:p w:rsidR="003F33D3" w:rsidRDefault="003F33D3" w:rsidP="003E2086">
      <w:pPr>
        <w:spacing w:before="100" w:beforeAutospacing="1" w:after="100" w:afterAutospacing="1" w:line="360" w:lineRule="auto"/>
      </w:pPr>
    </w:p>
    <w:p w:rsidR="003F33D3" w:rsidRPr="00621555" w:rsidRDefault="002B1411" w:rsidP="003E2086">
      <w:pPr>
        <w:spacing w:before="100" w:beforeAutospacing="1" w:after="100" w:afterAutospacing="1" w:line="360" w:lineRule="auto"/>
      </w:pPr>
      <w:r w:rsidRPr="00621555">
        <w:rPr>
          <w:noProof/>
        </w:rPr>
        <w:drawing>
          <wp:inline distT="0" distB="0" distL="0" distR="0">
            <wp:extent cx="5934075" cy="4086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3F33D3" w:rsidRDefault="003F33D3" w:rsidP="003E2086">
      <w:pPr>
        <w:spacing w:before="100" w:beforeAutospacing="1" w:after="100" w:afterAutospacing="1" w:line="360" w:lineRule="auto"/>
      </w:pPr>
    </w:p>
    <w:p w:rsidR="003F33D3" w:rsidRDefault="003F33D3" w:rsidP="003E2086">
      <w:pPr>
        <w:spacing w:before="100" w:beforeAutospacing="1" w:after="100" w:afterAutospacing="1" w:line="360" w:lineRule="auto"/>
      </w:pPr>
    </w:p>
    <w:p w:rsidR="00F35966" w:rsidRDefault="00F35966" w:rsidP="003E2086">
      <w:pPr>
        <w:spacing w:before="100" w:beforeAutospacing="1" w:after="100" w:afterAutospacing="1" w:line="360" w:lineRule="auto"/>
      </w:pPr>
    </w:p>
    <w:p w:rsidR="003F33D3" w:rsidRPr="00513B31" w:rsidRDefault="003F33D3" w:rsidP="003E2086">
      <w:pPr>
        <w:spacing w:before="100" w:beforeAutospacing="1" w:after="100" w:afterAutospacing="1" w:line="360" w:lineRule="auto"/>
      </w:pPr>
      <w:r>
        <w:lastRenderedPageBreak/>
        <w:t>Now coming to know about some measures of dispersion in the losers group with respect to ROA.</w:t>
      </w:r>
    </w:p>
    <w:p w:rsidR="00513B31" w:rsidRDefault="00513B31" w:rsidP="003E2086">
      <w:pPr>
        <w:spacing w:before="100" w:beforeAutospacing="1" w:after="100" w:afterAutospacing="1" w:line="360" w:lineRule="auto"/>
      </w:pPr>
    </w:p>
    <w:p w:rsidR="005D07DA" w:rsidRPr="00513B31" w:rsidRDefault="00513B31" w:rsidP="003E2086">
      <w:pPr>
        <w:spacing w:before="100" w:beforeAutospacing="1" w:after="100" w:afterAutospacing="1" w:line="360" w:lineRule="auto"/>
        <w:rPr>
          <w:b/>
          <w:sz w:val="30"/>
        </w:rPr>
      </w:pPr>
      <w:r w:rsidRPr="00513B31">
        <w:rPr>
          <w:b/>
          <w:sz w:val="30"/>
        </w:rPr>
        <w:t>Table 5.2</w:t>
      </w:r>
    </w:p>
    <w:p w:rsidR="00513B31" w:rsidRDefault="00513B31" w:rsidP="003E2086">
      <w:pPr>
        <w:spacing w:before="100" w:beforeAutospacing="1" w:after="100" w:afterAutospacing="1" w:line="360" w:lineRule="auto"/>
      </w:pPr>
    </w:p>
    <w:tbl>
      <w:tblPr>
        <w:tblW w:w="8507" w:type="dxa"/>
        <w:tblInd w:w="89" w:type="dxa"/>
        <w:tblLook w:val="0000" w:firstRow="0" w:lastRow="0" w:firstColumn="0" w:lastColumn="0" w:noHBand="0" w:noVBand="0"/>
      </w:tblPr>
      <w:tblGrid>
        <w:gridCol w:w="2501"/>
        <w:gridCol w:w="1239"/>
        <w:gridCol w:w="2407"/>
        <w:gridCol w:w="2360"/>
      </w:tblGrid>
      <w:tr w:rsidR="00513B31">
        <w:trPr>
          <w:trHeight w:val="269"/>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b/>
                <w:bCs/>
                <w:sz w:val="20"/>
                <w:szCs w:val="20"/>
              </w:rPr>
            </w:pPr>
            <w:r>
              <w:rPr>
                <w:rFonts w:ascii="Arial" w:hAnsi="Arial" w:cs="Arial"/>
                <w:b/>
                <w:bCs/>
                <w:sz w:val="20"/>
                <w:szCs w:val="20"/>
              </w:rPr>
              <w:t>Losers WRT ROA</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b/>
                <w:bCs/>
                <w:sz w:val="20"/>
                <w:szCs w:val="20"/>
              </w:rPr>
            </w:pPr>
            <w:r>
              <w:rPr>
                <w:rFonts w:ascii="Arial" w:hAnsi="Arial" w:cs="Arial"/>
                <w:b/>
                <w:bCs/>
                <w:sz w:val="20"/>
                <w:szCs w:val="20"/>
              </w:rPr>
              <w:t> </w:t>
            </w:r>
          </w:p>
        </w:tc>
        <w:tc>
          <w:tcPr>
            <w:tcW w:w="2407"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b/>
                <w:bCs/>
                <w:sz w:val="20"/>
                <w:szCs w:val="20"/>
              </w:rPr>
            </w:pPr>
            <w:r>
              <w:rPr>
                <w:rFonts w:ascii="Arial" w:hAnsi="Arial" w:cs="Arial"/>
                <w:b/>
                <w:bCs/>
                <w:sz w:val="20"/>
                <w:szCs w:val="20"/>
              </w:rPr>
              <w:t> </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 </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years</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Av.ROA</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St.Deviation in ROA</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rPr>
                <w:rFonts w:ascii="Arial" w:hAnsi="Arial" w:cs="Arial"/>
                <w:sz w:val="20"/>
                <w:szCs w:val="20"/>
              </w:rPr>
            </w:pPr>
            <w:r>
              <w:rPr>
                <w:rFonts w:ascii="Arial" w:hAnsi="Arial" w:cs="Arial"/>
                <w:sz w:val="20"/>
                <w:szCs w:val="20"/>
              </w:rPr>
              <w:t>Coefficient of variation</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2001</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-4.52%</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7.44%</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-1.65</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2002</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-1.29%</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6.96%</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-5.42</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2003</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-1.48%</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5.18%</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-3.50</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2004</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2.21%</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1.16%</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0.53</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2005</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0.89%</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3.27%</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3.67</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2006</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0.32%</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4.65%</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14.47</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2007</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-1.16%</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5.10%</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-4.38</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2008</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-5.45%</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8.39%</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-1.54</w:t>
            </w:r>
          </w:p>
        </w:tc>
      </w:tr>
      <w:tr w:rsidR="00513B31">
        <w:trPr>
          <w:trHeight w:val="269"/>
        </w:trPr>
        <w:tc>
          <w:tcPr>
            <w:tcW w:w="2501" w:type="dxa"/>
            <w:tcBorders>
              <w:top w:val="nil"/>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2009</w:t>
            </w:r>
          </w:p>
        </w:tc>
        <w:tc>
          <w:tcPr>
            <w:tcW w:w="1239"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-8.80%</w:t>
            </w:r>
          </w:p>
        </w:tc>
        <w:tc>
          <w:tcPr>
            <w:tcW w:w="2407"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14.37%</w:t>
            </w:r>
          </w:p>
        </w:tc>
        <w:tc>
          <w:tcPr>
            <w:tcW w:w="2360" w:type="dxa"/>
            <w:tcBorders>
              <w:top w:val="nil"/>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-1.63</w:t>
            </w:r>
          </w:p>
        </w:tc>
      </w:tr>
      <w:tr w:rsidR="00513B31">
        <w:trPr>
          <w:trHeight w:val="269"/>
        </w:trPr>
        <w:tc>
          <w:tcPr>
            <w:tcW w:w="2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2010</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-7.81%</w:t>
            </w:r>
          </w:p>
        </w:tc>
        <w:tc>
          <w:tcPr>
            <w:tcW w:w="2407"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13.48%</w:t>
            </w:r>
          </w:p>
        </w:tc>
        <w:tc>
          <w:tcPr>
            <w:tcW w:w="2360" w:type="dxa"/>
            <w:tcBorders>
              <w:top w:val="single" w:sz="4" w:space="0" w:color="auto"/>
              <w:left w:val="nil"/>
              <w:bottom w:val="single" w:sz="4" w:space="0" w:color="auto"/>
              <w:right w:val="single" w:sz="4" w:space="0" w:color="auto"/>
            </w:tcBorders>
            <w:shd w:val="clear" w:color="auto" w:fill="auto"/>
            <w:noWrap/>
            <w:vAlign w:val="bottom"/>
          </w:tcPr>
          <w:p w:rsidR="00513B31" w:rsidRDefault="00513B31" w:rsidP="003E2086">
            <w:pPr>
              <w:spacing w:line="360" w:lineRule="auto"/>
              <w:jc w:val="right"/>
              <w:rPr>
                <w:rFonts w:ascii="Arial" w:hAnsi="Arial" w:cs="Arial"/>
                <w:sz w:val="20"/>
                <w:szCs w:val="20"/>
              </w:rPr>
            </w:pPr>
            <w:r>
              <w:rPr>
                <w:rFonts w:ascii="Arial" w:hAnsi="Arial" w:cs="Arial"/>
                <w:sz w:val="20"/>
                <w:szCs w:val="20"/>
              </w:rPr>
              <w:t>-1.72</w:t>
            </w:r>
          </w:p>
        </w:tc>
      </w:tr>
    </w:tbl>
    <w:p w:rsidR="00513B31" w:rsidRDefault="003B3232" w:rsidP="003E2086">
      <w:pPr>
        <w:spacing w:before="100" w:beforeAutospacing="1" w:after="100" w:afterAutospacing="1" w:line="360" w:lineRule="auto"/>
      </w:pPr>
      <w:r>
        <w:t xml:space="preserve"> </w:t>
      </w:r>
      <w:r w:rsidR="00903E0C">
        <w:t xml:space="preserve">The average ROA of losers was negative 07 </w:t>
      </w:r>
      <w:r w:rsidR="00FE41B7">
        <w:t xml:space="preserve">times or 70% </w:t>
      </w:r>
      <w:r w:rsidR="00903E0C">
        <w:t>of the time. Here it mu</w:t>
      </w:r>
      <w:r w:rsidR="000777E3">
        <w:t xml:space="preserve">st be noted that some companies (e.g. Karachi Electric Supply Company and Pakistan International Airline) </w:t>
      </w:r>
      <w:r w:rsidR="00903E0C">
        <w:t xml:space="preserve">extraordinary </w:t>
      </w:r>
      <w:r w:rsidR="000777E3">
        <w:t>poor</w:t>
      </w:r>
      <w:r w:rsidR="00903E0C">
        <w:t xml:space="preserve"> performance</w:t>
      </w:r>
      <w:r w:rsidR="0011647C">
        <w:t xml:space="preserve"> due to mismanagement and corruption plays an outlier effect</w:t>
      </w:r>
      <w:r w:rsidR="00580E5A">
        <w:t xml:space="preserve"> here most of the years under consideration</w:t>
      </w:r>
      <w:r w:rsidR="00FE41B7">
        <w:t>.</w:t>
      </w:r>
    </w:p>
    <w:p w:rsidR="007158BB" w:rsidRPr="004447BB" w:rsidRDefault="007158BB" w:rsidP="003E2086">
      <w:pPr>
        <w:spacing w:before="100" w:beforeAutospacing="1" w:after="100" w:afterAutospacing="1" w:line="360" w:lineRule="auto"/>
      </w:pPr>
      <w:r>
        <w:t>The following chart shows the standard deviation in the average ROA of the bottom quartile companies.</w:t>
      </w:r>
    </w:p>
    <w:p w:rsidR="00513B31" w:rsidRDefault="002B1411" w:rsidP="003E2086">
      <w:pPr>
        <w:spacing w:before="100" w:beforeAutospacing="1" w:after="100" w:afterAutospacing="1" w:line="360" w:lineRule="auto"/>
      </w:pPr>
      <w:r w:rsidRPr="004447BB">
        <w:rPr>
          <w:noProof/>
        </w:rPr>
        <w:lastRenderedPageBreak/>
        <w:drawing>
          <wp:inline distT="0" distB="0" distL="0" distR="0">
            <wp:extent cx="5934075" cy="408622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4447BB" w:rsidRDefault="007158BB" w:rsidP="003E2086">
      <w:pPr>
        <w:spacing w:before="100" w:beforeAutospacing="1" w:after="100" w:afterAutospacing="1" w:line="360" w:lineRule="auto"/>
      </w:pPr>
      <w:r>
        <w:t xml:space="preserve">The coefficient of variation in the ROA of losers shows very high volatility in the </w:t>
      </w:r>
      <w:r w:rsidR="00A27D99">
        <w:t>ROA of losers</w:t>
      </w:r>
      <w:r>
        <w:t xml:space="preserve"> as evident from the table above and line chart given below.</w:t>
      </w:r>
    </w:p>
    <w:p w:rsidR="004447BB" w:rsidRPr="004447BB" w:rsidRDefault="002B1411" w:rsidP="003E2086">
      <w:pPr>
        <w:spacing w:before="100" w:beforeAutospacing="1" w:after="100" w:afterAutospacing="1" w:line="360" w:lineRule="auto"/>
      </w:pPr>
      <w:r w:rsidRPr="004447BB">
        <w:rPr>
          <w:noProof/>
        </w:rPr>
        <w:lastRenderedPageBreak/>
        <w:drawing>
          <wp:inline distT="0" distB="0" distL="0" distR="0">
            <wp:extent cx="5934075" cy="4086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B054E8" w:rsidRDefault="00B054E8" w:rsidP="003E2086">
      <w:pPr>
        <w:spacing w:before="100" w:beforeAutospacing="1" w:after="100" w:afterAutospacing="1" w:line="360" w:lineRule="auto"/>
        <w:rPr>
          <w:b/>
          <w:sz w:val="32"/>
        </w:rPr>
      </w:pPr>
    </w:p>
    <w:p w:rsidR="00B054E8" w:rsidRPr="00B054E8" w:rsidRDefault="00B054E8" w:rsidP="003E2086">
      <w:pPr>
        <w:spacing w:before="100" w:beforeAutospacing="1" w:after="100" w:afterAutospacing="1" w:line="360" w:lineRule="auto"/>
      </w:pPr>
      <w:r w:rsidRPr="00CA5BDC">
        <w:t xml:space="preserve">Thus </w:t>
      </w:r>
      <w:r>
        <w:t>it is concluded here the winners group were more consistent than that of the losers in ROA</w:t>
      </w:r>
      <w:r w:rsidR="00CA5BDC">
        <w:t xml:space="preserve">. In Other words the variation or volatility in losers with respect to ROA was much more than winners. </w:t>
      </w:r>
      <w:r w:rsidR="00197447">
        <w:t>Hence if an investor could</w:t>
      </w:r>
      <w:r w:rsidR="00C92D0A">
        <w:t xml:space="preserve"> not</w:t>
      </w:r>
      <w:r w:rsidR="00197447">
        <w:t xml:space="preserve"> have confined their</w:t>
      </w:r>
      <w:r w:rsidR="004759F6">
        <w:t xml:space="preserve"> investment </w:t>
      </w:r>
      <w:r w:rsidR="00197447">
        <w:t>successfully to upper quartile he co</w:t>
      </w:r>
      <w:r w:rsidR="00C92D0A">
        <w:t>uld have 70% chances of losing his/ her equity.</w:t>
      </w:r>
    </w:p>
    <w:p w:rsidR="00B054E8" w:rsidRDefault="00B054E8" w:rsidP="003E2086">
      <w:pPr>
        <w:spacing w:before="100" w:beforeAutospacing="1" w:after="100" w:afterAutospacing="1" w:line="360" w:lineRule="auto"/>
        <w:rPr>
          <w:b/>
          <w:sz w:val="32"/>
        </w:rPr>
      </w:pPr>
    </w:p>
    <w:p w:rsidR="00B054E8" w:rsidRDefault="00B054E8" w:rsidP="003E2086">
      <w:pPr>
        <w:spacing w:before="100" w:beforeAutospacing="1" w:after="100" w:afterAutospacing="1" w:line="360" w:lineRule="auto"/>
        <w:rPr>
          <w:b/>
          <w:sz w:val="32"/>
        </w:rPr>
      </w:pPr>
    </w:p>
    <w:p w:rsidR="00B054E8" w:rsidRDefault="00B054E8" w:rsidP="003E2086">
      <w:pPr>
        <w:spacing w:before="100" w:beforeAutospacing="1" w:after="100" w:afterAutospacing="1" w:line="360" w:lineRule="auto"/>
        <w:rPr>
          <w:b/>
          <w:sz w:val="32"/>
        </w:rPr>
      </w:pPr>
    </w:p>
    <w:p w:rsidR="00B054E8" w:rsidRDefault="00B054E8" w:rsidP="003E2086">
      <w:pPr>
        <w:spacing w:before="100" w:beforeAutospacing="1" w:after="100" w:afterAutospacing="1" w:line="360" w:lineRule="auto"/>
        <w:rPr>
          <w:b/>
          <w:sz w:val="32"/>
        </w:rPr>
      </w:pPr>
    </w:p>
    <w:p w:rsidR="00B054E8" w:rsidRDefault="00B054E8" w:rsidP="003E2086">
      <w:pPr>
        <w:spacing w:before="100" w:beforeAutospacing="1" w:after="100" w:afterAutospacing="1" w:line="360" w:lineRule="auto"/>
        <w:rPr>
          <w:b/>
          <w:sz w:val="32"/>
        </w:rPr>
      </w:pPr>
    </w:p>
    <w:p w:rsidR="004447BB" w:rsidRPr="00664210" w:rsidRDefault="00664210" w:rsidP="003E2086">
      <w:pPr>
        <w:spacing w:before="100" w:beforeAutospacing="1" w:after="100" w:afterAutospacing="1" w:line="360" w:lineRule="auto"/>
        <w:rPr>
          <w:b/>
          <w:sz w:val="32"/>
        </w:rPr>
      </w:pPr>
      <w:r w:rsidRPr="00664210">
        <w:rPr>
          <w:b/>
          <w:sz w:val="32"/>
        </w:rPr>
        <w:t>TABLE</w:t>
      </w:r>
      <w:r w:rsidR="00DA75EC">
        <w:rPr>
          <w:b/>
          <w:sz w:val="32"/>
        </w:rPr>
        <w:t xml:space="preserve"> 5.3</w:t>
      </w:r>
      <w:r w:rsidR="008D5A6A">
        <w:rPr>
          <w:b/>
          <w:sz w:val="32"/>
        </w:rPr>
        <w:t xml:space="preserve"> </w:t>
      </w:r>
    </w:p>
    <w:tbl>
      <w:tblPr>
        <w:tblW w:w="9226" w:type="dxa"/>
        <w:tblInd w:w="89" w:type="dxa"/>
        <w:tblLook w:val="0000" w:firstRow="0" w:lastRow="0" w:firstColumn="0" w:lastColumn="0" w:noHBand="0" w:noVBand="0"/>
      </w:tblPr>
      <w:tblGrid>
        <w:gridCol w:w="1415"/>
        <w:gridCol w:w="1916"/>
        <w:gridCol w:w="1295"/>
        <w:gridCol w:w="1799"/>
        <w:gridCol w:w="2801"/>
      </w:tblGrid>
      <w:tr w:rsidR="00664210">
        <w:trPr>
          <w:trHeight w:val="260"/>
        </w:trPr>
        <w:tc>
          <w:tcPr>
            <w:tcW w:w="4626" w:type="dxa"/>
            <w:gridSpan w:val="3"/>
            <w:tcBorders>
              <w:top w:val="nil"/>
              <w:left w:val="nil"/>
              <w:bottom w:val="nil"/>
              <w:right w:val="nil"/>
            </w:tcBorders>
            <w:shd w:val="clear" w:color="auto" w:fill="auto"/>
            <w:noWrap/>
            <w:vAlign w:val="bottom"/>
          </w:tcPr>
          <w:p w:rsidR="00664210" w:rsidRDefault="00664210" w:rsidP="003E2086">
            <w:pPr>
              <w:spacing w:line="360" w:lineRule="auto"/>
              <w:rPr>
                <w:rFonts w:ascii="Arial" w:hAnsi="Arial" w:cs="Arial"/>
                <w:b/>
                <w:bCs/>
                <w:sz w:val="20"/>
                <w:szCs w:val="20"/>
              </w:rPr>
            </w:pPr>
            <w:r>
              <w:rPr>
                <w:rFonts w:ascii="Arial" w:hAnsi="Arial" w:cs="Arial"/>
                <w:b/>
                <w:bCs/>
                <w:sz w:val="20"/>
                <w:szCs w:val="20"/>
              </w:rPr>
              <w:t>Cross Sectional Volatility in ROA</w:t>
            </w:r>
          </w:p>
        </w:tc>
        <w:tc>
          <w:tcPr>
            <w:tcW w:w="1799" w:type="dxa"/>
            <w:tcBorders>
              <w:top w:val="nil"/>
              <w:left w:val="nil"/>
              <w:bottom w:val="nil"/>
              <w:right w:val="nil"/>
            </w:tcBorders>
            <w:shd w:val="clear" w:color="auto" w:fill="auto"/>
            <w:noWrap/>
            <w:vAlign w:val="bottom"/>
          </w:tcPr>
          <w:p w:rsidR="00664210" w:rsidRDefault="00664210" w:rsidP="003E2086">
            <w:pPr>
              <w:spacing w:line="360" w:lineRule="auto"/>
              <w:rPr>
                <w:rFonts w:ascii="Arial" w:hAnsi="Arial" w:cs="Arial"/>
                <w:b/>
                <w:bCs/>
                <w:sz w:val="20"/>
                <w:szCs w:val="20"/>
              </w:rPr>
            </w:pPr>
          </w:p>
        </w:tc>
        <w:tc>
          <w:tcPr>
            <w:tcW w:w="2801" w:type="dxa"/>
            <w:tcBorders>
              <w:top w:val="nil"/>
              <w:left w:val="nil"/>
              <w:bottom w:val="nil"/>
              <w:right w:val="nil"/>
            </w:tcBorders>
            <w:shd w:val="clear" w:color="auto" w:fill="auto"/>
            <w:noWrap/>
            <w:vAlign w:val="bottom"/>
          </w:tcPr>
          <w:p w:rsidR="00664210" w:rsidRDefault="00664210" w:rsidP="003E2086">
            <w:pPr>
              <w:spacing w:line="360" w:lineRule="auto"/>
              <w:rPr>
                <w:rFonts w:ascii="Arial" w:hAnsi="Arial" w:cs="Arial"/>
                <w:b/>
                <w:bCs/>
                <w:sz w:val="20"/>
                <w:szCs w:val="20"/>
              </w:rPr>
            </w:pPr>
          </w:p>
        </w:tc>
      </w:tr>
      <w:tr w:rsidR="00664210">
        <w:trPr>
          <w:trHeight w:val="260"/>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Years</w:t>
            </w:r>
          </w:p>
        </w:tc>
        <w:tc>
          <w:tcPr>
            <w:tcW w:w="1916" w:type="dxa"/>
            <w:tcBorders>
              <w:top w:val="single" w:sz="4" w:space="0" w:color="auto"/>
              <w:left w:val="nil"/>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1st Quartile</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Median</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3rd Quartile</w:t>
            </w:r>
          </w:p>
        </w:tc>
        <w:tc>
          <w:tcPr>
            <w:tcW w:w="2801" w:type="dxa"/>
            <w:tcBorders>
              <w:top w:val="single" w:sz="4" w:space="0" w:color="auto"/>
              <w:left w:val="nil"/>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 xml:space="preserve">Inter </w:t>
            </w:r>
            <w:smartTag w:uri="urn:schemas-microsoft-com:office:smarttags" w:element="place">
              <w:smartTag w:uri="urn:schemas-microsoft-com:office:smarttags" w:element="PlaceName">
                <w:r>
                  <w:rPr>
                    <w:rFonts w:ascii="Arial" w:hAnsi="Arial" w:cs="Arial"/>
                    <w:sz w:val="20"/>
                    <w:szCs w:val="20"/>
                  </w:rPr>
                  <w:t>Quartile</w:t>
                </w:r>
              </w:smartTag>
              <w:r>
                <w:rPr>
                  <w:rFonts w:ascii="Arial" w:hAnsi="Arial" w:cs="Arial"/>
                  <w:sz w:val="20"/>
                  <w:szCs w:val="20"/>
                </w:rPr>
                <w:t xml:space="preserve"> </w:t>
              </w:r>
              <w:smartTag w:uri="urn:schemas-microsoft-com:office:smarttags" w:element="PlaceType">
                <w:r>
                  <w:rPr>
                    <w:rFonts w:ascii="Arial" w:hAnsi="Arial" w:cs="Arial"/>
                    <w:sz w:val="20"/>
                    <w:szCs w:val="20"/>
                  </w:rPr>
                  <w:t>Range</w:t>
                </w:r>
              </w:smartTag>
            </w:smartTag>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2001</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1.10%</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5.06%</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12.15%</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11.05</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2002</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2.25%</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7.52%</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12.53%</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10.27</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2003</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2.66%</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7.84%</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13.22%</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10.56</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2004</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4.09%</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9.52%</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14.57%</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10.48</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2005</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4.33%</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10.10%</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15.46%</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11.14</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2006</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4.37%</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9.10%</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15.87%</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11.5</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2007</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2.42%</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9.28%</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14.31%</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11.89</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2008</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0.73%</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6.64%</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11.95%</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11.22</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2009</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0.45%</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3.80%</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10.52%</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10.09</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2010</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2.57%</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5.37%</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11.61%</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11.036</w:t>
            </w:r>
          </w:p>
        </w:tc>
      </w:tr>
      <w:tr w:rsidR="00664210">
        <w:trPr>
          <w:trHeight w:val="260"/>
        </w:trPr>
        <w:tc>
          <w:tcPr>
            <w:tcW w:w="1415" w:type="dxa"/>
            <w:tcBorders>
              <w:top w:val="nil"/>
              <w:left w:val="single" w:sz="4" w:space="0" w:color="auto"/>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Average</w:t>
            </w:r>
          </w:p>
        </w:tc>
        <w:tc>
          <w:tcPr>
            <w:tcW w:w="1916"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 </w:t>
            </w:r>
          </w:p>
        </w:tc>
        <w:tc>
          <w:tcPr>
            <w:tcW w:w="1799"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rPr>
                <w:rFonts w:ascii="Arial" w:hAnsi="Arial" w:cs="Arial"/>
                <w:sz w:val="20"/>
                <w:szCs w:val="20"/>
              </w:rPr>
            </w:pPr>
            <w:r>
              <w:rPr>
                <w:rFonts w:ascii="Arial" w:hAnsi="Arial" w:cs="Arial"/>
                <w:sz w:val="20"/>
                <w:szCs w:val="20"/>
              </w:rPr>
              <w:t> </w:t>
            </w:r>
          </w:p>
        </w:tc>
        <w:tc>
          <w:tcPr>
            <w:tcW w:w="2801" w:type="dxa"/>
            <w:tcBorders>
              <w:top w:val="nil"/>
              <w:left w:val="nil"/>
              <w:bottom w:val="single" w:sz="4" w:space="0" w:color="auto"/>
              <w:right w:val="single" w:sz="4" w:space="0" w:color="auto"/>
            </w:tcBorders>
            <w:shd w:val="clear" w:color="auto" w:fill="auto"/>
            <w:noWrap/>
            <w:vAlign w:val="bottom"/>
          </w:tcPr>
          <w:p w:rsidR="00664210" w:rsidRDefault="00664210" w:rsidP="003E2086">
            <w:pPr>
              <w:spacing w:line="360" w:lineRule="auto"/>
              <w:jc w:val="right"/>
              <w:rPr>
                <w:rFonts w:ascii="Arial" w:hAnsi="Arial" w:cs="Arial"/>
                <w:sz w:val="20"/>
                <w:szCs w:val="20"/>
              </w:rPr>
            </w:pPr>
            <w:r>
              <w:rPr>
                <w:rFonts w:ascii="Arial" w:hAnsi="Arial" w:cs="Arial"/>
                <w:sz w:val="20"/>
                <w:szCs w:val="20"/>
              </w:rPr>
              <w:t>10.9236</w:t>
            </w:r>
          </w:p>
        </w:tc>
      </w:tr>
    </w:tbl>
    <w:p w:rsidR="004447BB" w:rsidRDefault="004447BB" w:rsidP="003E2086">
      <w:pPr>
        <w:spacing w:before="100" w:beforeAutospacing="1" w:after="100" w:afterAutospacing="1" w:line="360" w:lineRule="auto"/>
      </w:pPr>
    </w:p>
    <w:p w:rsidR="00956F80" w:rsidRDefault="00956F80" w:rsidP="003E2086">
      <w:pPr>
        <w:spacing w:line="360" w:lineRule="auto"/>
      </w:pPr>
    </w:p>
    <w:p w:rsidR="00956F80" w:rsidRDefault="00956F80" w:rsidP="003E2086">
      <w:pPr>
        <w:spacing w:line="360" w:lineRule="auto"/>
      </w:pPr>
    </w:p>
    <w:p w:rsidR="00956F80" w:rsidRDefault="00956F80" w:rsidP="003E2086">
      <w:pPr>
        <w:spacing w:line="360" w:lineRule="auto"/>
      </w:pPr>
    </w:p>
    <w:p w:rsidR="00D4065C" w:rsidRPr="008644D2" w:rsidRDefault="00D4065C" w:rsidP="003E2086">
      <w:pPr>
        <w:spacing w:line="360" w:lineRule="auto"/>
        <w:rPr>
          <w:b/>
          <w:sz w:val="32"/>
          <w:szCs w:val="32"/>
        </w:rPr>
      </w:pPr>
      <w:r w:rsidRPr="008644D2">
        <w:rPr>
          <w:b/>
          <w:sz w:val="32"/>
          <w:szCs w:val="32"/>
        </w:rPr>
        <w:t>I</w:t>
      </w:r>
      <w:r w:rsidR="008644D2">
        <w:rPr>
          <w:b/>
          <w:sz w:val="32"/>
          <w:szCs w:val="32"/>
        </w:rPr>
        <w:t xml:space="preserve">nter </w:t>
      </w:r>
      <w:smartTag w:uri="urn:schemas-microsoft-com:office:smarttags" w:element="place">
        <w:smartTag w:uri="urn:schemas-microsoft-com:office:smarttags" w:element="PlaceName">
          <w:r w:rsidRPr="008644D2">
            <w:rPr>
              <w:b/>
              <w:sz w:val="32"/>
              <w:szCs w:val="32"/>
            </w:rPr>
            <w:t>Q</w:t>
          </w:r>
          <w:r w:rsidR="008644D2">
            <w:rPr>
              <w:b/>
              <w:sz w:val="32"/>
              <w:szCs w:val="32"/>
            </w:rPr>
            <w:t>uartile</w:t>
          </w:r>
        </w:smartTag>
        <w:r w:rsidR="008644D2">
          <w:rPr>
            <w:b/>
            <w:sz w:val="32"/>
            <w:szCs w:val="32"/>
          </w:rPr>
          <w:t xml:space="preserve"> </w:t>
        </w:r>
        <w:smartTag w:uri="urn:schemas-microsoft-com:office:smarttags" w:element="PlaceType">
          <w:r w:rsidRPr="008644D2">
            <w:rPr>
              <w:b/>
              <w:sz w:val="32"/>
              <w:szCs w:val="32"/>
            </w:rPr>
            <w:t>R</w:t>
          </w:r>
          <w:r w:rsidR="008644D2">
            <w:rPr>
              <w:b/>
              <w:sz w:val="32"/>
              <w:szCs w:val="32"/>
            </w:rPr>
            <w:t>ange</w:t>
          </w:r>
        </w:smartTag>
      </w:smartTag>
      <w:r w:rsidR="008644D2">
        <w:rPr>
          <w:b/>
          <w:sz w:val="32"/>
          <w:szCs w:val="32"/>
        </w:rPr>
        <w:t xml:space="preserve"> in ROA of winners and losers:</w:t>
      </w:r>
    </w:p>
    <w:p w:rsidR="002F6F43" w:rsidRDefault="00D4065C" w:rsidP="003E2086">
      <w:pPr>
        <w:spacing w:line="360" w:lineRule="auto"/>
      </w:pPr>
      <w:r>
        <w:t>Table shows the first quartile median 3</w:t>
      </w:r>
      <w:r w:rsidRPr="00DE7E0E">
        <w:rPr>
          <w:vertAlign w:val="superscript"/>
        </w:rPr>
        <w:t>rd</w:t>
      </w:r>
      <w:r>
        <w:t xml:space="preserve"> Quartile and inter quartile range of the annual Average </w:t>
      </w:r>
      <w:r w:rsidR="008D5A6A">
        <w:t xml:space="preserve">ROA </w:t>
      </w:r>
      <w:r>
        <w:t xml:space="preserve">from 2001-10 for 72 companies. Over the whole data period of 10 Years the average inter quartile range is </w:t>
      </w:r>
      <w:r w:rsidR="008D5A6A">
        <w:t>10.92</w:t>
      </w:r>
      <w:r>
        <w:t xml:space="preserve">%, this shows that an investor could have earn </w:t>
      </w:r>
      <w:r w:rsidR="008D5A6A">
        <w:t>10.92</w:t>
      </w:r>
      <w:r>
        <w:t>% greater returns</w:t>
      </w:r>
      <w:r w:rsidR="008D5A6A">
        <w:t xml:space="preserve"> on assets than</w:t>
      </w:r>
      <w:r>
        <w:t xml:space="preserve"> bottom quartile companies in a ran</w:t>
      </w:r>
      <w:r w:rsidR="002F6F43">
        <w:t xml:space="preserve">domly chosen year from 2001-10. </w:t>
      </w:r>
    </w:p>
    <w:p w:rsidR="00D4065C" w:rsidRDefault="002F6F43" w:rsidP="003E2086">
      <w:pPr>
        <w:spacing w:line="360" w:lineRule="auto"/>
      </w:pPr>
      <w:r>
        <w:t>Thus</w:t>
      </w:r>
      <w:r w:rsidR="00D4065C">
        <w:t xml:space="preserve"> we can say that the average spread in the </w:t>
      </w:r>
      <w:r w:rsidR="008D5A6A">
        <w:t xml:space="preserve">ROA </w:t>
      </w:r>
      <w:r w:rsidR="00D4065C">
        <w:t xml:space="preserve">of winners and losers during the whole data period was </w:t>
      </w:r>
      <w:r w:rsidR="008D5A6A">
        <w:t>10.92</w:t>
      </w:r>
      <w:r w:rsidR="00D4065C">
        <w:t>%.</w:t>
      </w:r>
    </w:p>
    <w:p w:rsidR="004D2F98" w:rsidRDefault="004D2F98" w:rsidP="003E2086">
      <w:pPr>
        <w:spacing w:line="360" w:lineRule="auto"/>
      </w:pPr>
      <w:r>
        <w:t>The figure of IQR in ROA shows it high consistency and less variation and all the time it is in the range of 10% and 11%.</w:t>
      </w:r>
    </w:p>
    <w:p w:rsidR="000C70A5" w:rsidRDefault="000C70A5" w:rsidP="003E2086">
      <w:pPr>
        <w:spacing w:line="360" w:lineRule="auto"/>
      </w:pPr>
    </w:p>
    <w:p w:rsidR="000C70A5" w:rsidRDefault="000C70A5" w:rsidP="003E2086">
      <w:pPr>
        <w:spacing w:line="360" w:lineRule="auto"/>
      </w:pPr>
      <w:r>
        <w:lastRenderedPageBreak/>
        <w:t xml:space="preserve">The graphical representation of the spread between the average </w:t>
      </w:r>
      <w:r w:rsidR="00DE7FB3">
        <w:t xml:space="preserve">ROA of winners and losers is </w:t>
      </w:r>
      <w:r w:rsidR="00B13AF0">
        <w:t>given below.</w:t>
      </w:r>
    </w:p>
    <w:p w:rsidR="00D4065C" w:rsidRDefault="00D4065C" w:rsidP="003E2086">
      <w:pPr>
        <w:spacing w:line="360" w:lineRule="auto"/>
      </w:pPr>
      <w:r>
        <w:tab/>
      </w:r>
      <w:r>
        <w:tab/>
        <w:t>.</w:t>
      </w:r>
    </w:p>
    <w:p w:rsidR="004447BB" w:rsidRDefault="004447BB" w:rsidP="003E2086">
      <w:pPr>
        <w:spacing w:before="100" w:beforeAutospacing="1" w:after="100" w:afterAutospacing="1" w:line="360" w:lineRule="auto"/>
      </w:pPr>
    </w:p>
    <w:p w:rsidR="00664210" w:rsidRPr="00664210" w:rsidRDefault="002B1411" w:rsidP="003E2086">
      <w:pPr>
        <w:spacing w:before="100" w:beforeAutospacing="1" w:after="100" w:afterAutospacing="1" w:line="360" w:lineRule="auto"/>
      </w:pPr>
      <w:r w:rsidRPr="00664210">
        <w:rPr>
          <w:noProof/>
        </w:rPr>
        <w:drawing>
          <wp:inline distT="0" distB="0" distL="0" distR="0">
            <wp:extent cx="5934075" cy="40862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664210" w:rsidRDefault="00664210" w:rsidP="003E2086">
      <w:pPr>
        <w:spacing w:before="100" w:beforeAutospacing="1" w:after="100" w:afterAutospacing="1" w:line="360" w:lineRule="auto"/>
      </w:pPr>
    </w:p>
    <w:p w:rsidR="00664210" w:rsidRDefault="00664210" w:rsidP="003E2086">
      <w:pPr>
        <w:spacing w:before="100" w:beforeAutospacing="1" w:after="100" w:afterAutospacing="1" w:line="360" w:lineRule="auto"/>
      </w:pPr>
    </w:p>
    <w:p w:rsidR="00B62A97" w:rsidRDefault="00B62A97" w:rsidP="003E2086">
      <w:pPr>
        <w:spacing w:before="100" w:beforeAutospacing="1" w:after="100" w:afterAutospacing="1" w:line="360" w:lineRule="auto"/>
      </w:pPr>
    </w:p>
    <w:p w:rsidR="00B62A97" w:rsidRDefault="00B62A97" w:rsidP="003E2086">
      <w:pPr>
        <w:spacing w:before="100" w:beforeAutospacing="1" w:after="100" w:afterAutospacing="1" w:line="360" w:lineRule="auto"/>
      </w:pPr>
    </w:p>
    <w:p w:rsidR="00B62A97" w:rsidRDefault="00B62A97" w:rsidP="003E2086">
      <w:pPr>
        <w:spacing w:before="100" w:beforeAutospacing="1" w:after="100" w:afterAutospacing="1" w:line="360" w:lineRule="auto"/>
      </w:pPr>
    </w:p>
    <w:p w:rsidR="00B62A97" w:rsidRPr="003B56A4" w:rsidRDefault="00B62A97" w:rsidP="003E2086">
      <w:pPr>
        <w:spacing w:before="100" w:beforeAutospacing="1" w:after="100" w:afterAutospacing="1" w:line="360" w:lineRule="auto"/>
      </w:pPr>
    </w:p>
    <w:tbl>
      <w:tblPr>
        <w:tblW w:w="10112" w:type="dxa"/>
        <w:tblInd w:w="89" w:type="dxa"/>
        <w:tblLook w:val="0000" w:firstRow="0" w:lastRow="0" w:firstColumn="0" w:lastColumn="0" w:noHBand="0" w:noVBand="0"/>
      </w:tblPr>
      <w:tblGrid>
        <w:gridCol w:w="2036"/>
        <w:gridCol w:w="2079"/>
        <w:gridCol w:w="1992"/>
        <w:gridCol w:w="1948"/>
        <w:gridCol w:w="2057"/>
      </w:tblGrid>
      <w:tr w:rsidR="00C744CD">
        <w:trPr>
          <w:trHeight w:val="315"/>
        </w:trPr>
        <w:tc>
          <w:tcPr>
            <w:tcW w:w="4115" w:type="dxa"/>
            <w:gridSpan w:val="2"/>
            <w:tcBorders>
              <w:top w:val="nil"/>
              <w:left w:val="nil"/>
              <w:bottom w:val="nil"/>
              <w:right w:val="nil"/>
            </w:tcBorders>
            <w:shd w:val="clear" w:color="auto" w:fill="auto"/>
            <w:noWrap/>
            <w:vAlign w:val="bottom"/>
          </w:tcPr>
          <w:p w:rsidR="00C744CD" w:rsidRDefault="00C744CD" w:rsidP="003E2086">
            <w:pPr>
              <w:spacing w:line="360" w:lineRule="auto"/>
              <w:rPr>
                <w:rFonts w:ascii="Arial" w:hAnsi="Arial" w:cs="Arial"/>
                <w:b/>
                <w:bCs/>
              </w:rPr>
            </w:pPr>
            <w:r>
              <w:rPr>
                <w:rFonts w:ascii="Arial" w:hAnsi="Arial" w:cs="Arial"/>
                <w:b/>
                <w:bCs/>
              </w:rPr>
              <w:lastRenderedPageBreak/>
              <w:t>Winners with respect to ROA</w:t>
            </w:r>
          </w:p>
        </w:tc>
        <w:tc>
          <w:tcPr>
            <w:tcW w:w="1992" w:type="dxa"/>
            <w:tcBorders>
              <w:top w:val="nil"/>
              <w:left w:val="nil"/>
              <w:bottom w:val="nil"/>
              <w:right w:val="nil"/>
            </w:tcBorders>
            <w:shd w:val="clear" w:color="auto" w:fill="auto"/>
            <w:noWrap/>
            <w:vAlign w:val="bottom"/>
          </w:tcPr>
          <w:p w:rsidR="00C744CD" w:rsidRDefault="00C744CD" w:rsidP="003E2086">
            <w:pPr>
              <w:spacing w:line="360" w:lineRule="auto"/>
              <w:rPr>
                <w:rFonts w:ascii="Arial" w:hAnsi="Arial" w:cs="Arial"/>
                <w:sz w:val="20"/>
                <w:szCs w:val="20"/>
              </w:rPr>
            </w:pPr>
          </w:p>
        </w:tc>
        <w:tc>
          <w:tcPr>
            <w:tcW w:w="1948" w:type="dxa"/>
            <w:tcBorders>
              <w:top w:val="nil"/>
              <w:left w:val="nil"/>
              <w:bottom w:val="nil"/>
              <w:right w:val="nil"/>
            </w:tcBorders>
            <w:shd w:val="clear" w:color="auto" w:fill="auto"/>
            <w:noWrap/>
            <w:vAlign w:val="bottom"/>
          </w:tcPr>
          <w:p w:rsidR="00C744CD" w:rsidRDefault="00C744CD" w:rsidP="003E2086">
            <w:pPr>
              <w:spacing w:line="360" w:lineRule="auto"/>
              <w:rPr>
                <w:rFonts w:ascii="Arial" w:hAnsi="Arial" w:cs="Arial"/>
                <w:sz w:val="20"/>
                <w:szCs w:val="20"/>
              </w:rPr>
            </w:pPr>
          </w:p>
        </w:tc>
        <w:tc>
          <w:tcPr>
            <w:tcW w:w="2057" w:type="dxa"/>
            <w:tcBorders>
              <w:top w:val="nil"/>
              <w:left w:val="nil"/>
              <w:bottom w:val="nil"/>
              <w:right w:val="nil"/>
            </w:tcBorders>
            <w:shd w:val="clear" w:color="auto" w:fill="auto"/>
            <w:noWrap/>
            <w:vAlign w:val="bottom"/>
          </w:tcPr>
          <w:p w:rsidR="00C744CD" w:rsidRDefault="00C744CD" w:rsidP="003E2086">
            <w:pPr>
              <w:spacing w:line="360" w:lineRule="auto"/>
              <w:rPr>
                <w:rFonts w:ascii="Arial" w:hAnsi="Arial" w:cs="Arial"/>
                <w:sz w:val="20"/>
                <w:szCs w:val="20"/>
              </w:rPr>
            </w:pPr>
          </w:p>
        </w:tc>
      </w:tr>
      <w:tr w:rsidR="00C744CD">
        <w:trPr>
          <w:trHeight w:val="255"/>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2001</w:t>
            </w:r>
          </w:p>
        </w:tc>
        <w:tc>
          <w:tcPr>
            <w:tcW w:w="2078"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2002</w:t>
            </w:r>
          </w:p>
        </w:tc>
        <w:tc>
          <w:tcPr>
            <w:tcW w:w="1992"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2003</w:t>
            </w:r>
          </w:p>
        </w:tc>
        <w:tc>
          <w:tcPr>
            <w:tcW w:w="1948"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2004</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2005</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Security Paper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Security Paper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Lakson Tobacco Co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Telephone Cables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Ghani Glass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Ghani Glass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Telephone Cables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Ghani Glass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PNSC</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Laboratories Pak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City">
              <w:smartTag w:uri="urn:schemas-microsoft-com:office:smarttags" w:element="place">
                <w:r>
                  <w:rPr>
                    <w:rFonts w:ascii="Arial" w:hAnsi="Arial" w:cs="Arial"/>
                    <w:sz w:val="16"/>
                    <w:szCs w:val="16"/>
                  </w:rPr>
                  <w:t>Cambridge</w:t>
                </w:r>
              </w:smartTag>
            </w:smartTag>
            <w:r>
              <w:rPr>
                <w:rFonts w:ascii="Arial" w:hAnsi="Arial" w:cs="Arial"/>
                <w:sz w:val="16"/>
                <w:szCs w:val="16"/>
              </w:rPr>
              <w:t xml:space="preserve">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IGI Insurance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Refinery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The Hub Power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Lakson Tobacco Co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Security Paper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Dawood Hercules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IGI Insurance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Lakson Tobacco Co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PTCL</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Javedan Cement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IGI Insurance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Nestle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ICI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Soneri Bank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Nestle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New Jubilee Insurance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Laboratories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Security Paper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Nestle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Dawood Hercules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PTCL</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PTCL</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Dawood Hercules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PTCL</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Refinery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Ghani Glass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PNSC</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City">
              <w:smartTag w:uri="urn:schemas-microsoft-com:office:smarttags" w:element="place">
                <w:r>
                  <w:rPr>
                    <w:rFonts w:ascii="Arial" w:hAnsi="Arial" w:cs="Arial"/>
                    <w:sz w:val="16"/>
                    <w:szCs w:val="16"/>
                  </w:rPr>
                  <w:t>Cambridge</w:t>
                </w:r>
              </w:smartTag>
            </w:smartTag>
            <w:r>
              <w:rPr>
                <w:rFonts w:ascii="Arial" w:hAnsi="Arial" w:cs="Arial"/>
                <w:sz w:val="16"/>
                <w:szCs w:val="16"/>
              </w:rPr>
              <w:t xml:space="preserve">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Nestle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Millat Tractors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Atlas Honda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Suzuki Motor Co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Jahangir Siddiqui &amp; Co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Fertilizer Co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PTCL</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Atlas Honda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Tobacco Co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ICI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Dawood Hercules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Packages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Engro Chemical Pak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2006</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2007</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2008</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2009</w:t>
            </w:r>
          </w:p>
        </w:tc>
        <w:tc>
          <w:tcPr>
            <w:tcW w:w="2057" w:type="dxa"/>
            <w:tcBorders>
              <w:top w:val="nil"/>
              <w:left w:val="nil"/>
              <w:bottom w:val="nil"/>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2010</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IGI Insurance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EFU General Insurance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Jahangir Siddiqui &amp; Co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Javedan Cement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Reinsurance Co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Tobacco Co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Dawood Hercules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Fauji Fertilizer Co</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Packages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Tobacco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Tobacco Co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Lakson Tobacco Co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Bata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Al-Ghazi Tractors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Laboratories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Bata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Colgate - Palmolive</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Nestle Pakistan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Millat Tractors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Millat Tractors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Tobacco Co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Mari Gas Co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Bata Pakistan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Tobacco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Colgate - Palmolive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 Oilfields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Pakistan Oilfields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Adamjee Insurance Co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Indus Motor Co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Nestle Pak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Ghani Glass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Laboratories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Nishat Mills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Ghani Glass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Cement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IGI Insurance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Kohinoor Energy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Arif Habib securities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New Jubilee Insurance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Ghani Glass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Lucky Cement </w:t>
            </w:r>
          </w:p>
        </w:tc>
        <w:tc>
          <w:tcPr>
            <w:tcW w:w="2057" w:type="dxa"/>
            <w:tcBorders>
              <w:top w:val="nil"/>
              <w:left w:val="nil"/>
              <w:bottom w:val="nil"/>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Clariant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Bata Pak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Clariant Pak </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Indus Motor Co</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Shell Pak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Packages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Ibrahim Fibres Limited</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Indus Motor Co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National Refinery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Adamjee Insurance</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Abbott Lab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r>
      <w:tr w:rsidR="00C744CD">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Engro Chemical Pak </w:t>
            </w:r>
          </w:p>
        </w:tc>
        <w:tc>
          <w:tcPr>
            <w:tcW w:w="207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Indus Motor Co </w:t>
            </w:r>
          </w:p>
        </w:tc>
        <w:tc>
          <w:tcPr>
            <w:tcW w:w="1992"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Attock Refinery </w:t>
            </w:r>
          </w:p>
        </w:tc>
        <w:tc>
          <w:tcPr>
            <w:tcW w:w="194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Thal  **</w:t>
            </w:r>
          </w:p>
        </w:tc>
        <w:tc>
          <w:tcPr>
            <w:tcW w:w="2057"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Adamjee Insurance </w:t>
            </w:r>
          </w:p>
        </w:tc>
      </w:tr>
    </w:tbl>
    <w:p w:rsidR="0060151D" w:rsidRDefault="0060151D" w:rsidP="003E2086">
      <w:pPr>
        <w:spacing w:before="100" w:beforeAutospacing="1" w:after="100" w:afterAutospacing="1" w:line="360" w:lineRule="auto"/>
      </w:pPr>
    </w:p>
    <w:p w:rsidR="00B62A97" w:rsidRDefault="00B62A97" w:rsidP="003E2086">
      <w:pPr>
        <w:spacing w:before="100" w:beforeAutospacing="1" w:after="100" w:afterAutospacing="1" w:line="360" w:lineRule="auto"/>
        <w:rPr>
          <w:b/>
          <w:sz w:val="32"/>
        </w:rPr>
      </w:pPr>
    </w:p>
    <w:p w:rsidR="00593ED1" w:rsidRPr="00E844CD" w:rsidRDefault="00593ED1" w:rsidP="003E2086">
      <w:pPr>
        <w:spacing w:before="100" w:beforeAutospacing="1" w:after="100" w:afterAutospacing="1" w:line="360" w:lineRule="auto"/>
      </w:pPr>
      <w:r w:rsidRPr="00B22F7F">
        <w:lastRenderedPageBreak/>
        <w:t xml:space="preserve">The following table </w:t>
      </w:r>
      <w:r>
        <w:t xml:space="preserve">5.3 </w:t>
      </w:r>
      <w:r w:rsidRPr="00B22F7F">
        <w:t xml:space="preserve">shows the consistency in the </w:t>
      </w:r>
      <w:r>
        <w:t>ROA</w:t>
      </w:r>
      <w:r w:rsidR="001574AB">
        <w:t xml:space="preserve"> </w:t>
      </w:r>
      <w:r w:rsidRPr="00B22F7F">
        <w:t>of winners of 2001</w:t>
      </w:r>
      <w:r>
        <w:t xml:space="preserve">. For developing this table we took the winners with respect to </w:t>
      </w:r>
      <w:r w:rsidR="001574AB">
        <w:t xml:space="preserve">ROA </w:t>
      </w:r>
      <w:r>
        <w:t xml:space="preserve">in 2001 and checked its repetition as winner in the subsequent years </w:t>
      </w:r>
      <w:r w:rsidR="001574AB">
        <w:t xml:space="preserve"> </w:t>
      </w:r>
    </w:p>
    <w:p w:rsidR="0060151D" w:rsidRPr="00C744CD" w:rsidRDefault="00C744CD" w:rsidP="003E2086">
      <w:pPr>
        <w:spacing w:before="100" w:beforeAutospacing="1" w:after="100" w:afterAutospacing="1" w:line="360" w:lineRule="auto"/>
        <w:rPr>
          <w:b/>
          <w:sz w:val="32"/>
        </w:rPr>
      </w:pPr>
      <w:r w:rsidRPr="00C744CD">
        <w:rPr>
          <w:b/>
          <w:sz w:val="32"/>
        </w:rPr>
        <w:t>TABLE</w:t>
      </w:r>
      <w:r w:rsidR="00593ED1">
        <w:rPr>
          <w:b/>
          <w:sz w:val="32"/>
        </w:rPr>
        <w:t xml:space="preserve"> 5.3</w:t>
      </w:r>
    </w:p>
    <w:tbl>
      <w:tblPr>
        <w:tblW w:w="10300" w:type="dxa"/>
        <w:tblInd w:w="89" w:type="dxa"/>
        <w:tblLook w:val="0000" w:firstRow="0" w:lastRow="0" w:firstColumn="0" w:lastColumn="0" w:noHBand="0" w:noVBand="0"/>
      </w:tblPr>
      <w:tblGrid>
        <w:gridCol w:w="2899"/>
        <w:gridCol w:w="2355"/>
        <w:gridCol w:w="1828"/>
        <w:gridCol w:w="1550"/>
        <w:gridCol w:w="1668"/>
      </w:tblGrid>
      <w:tr w:rsidR="00B40CBA">
        <w:trPr>
          <w:trHeight w:val="1"/>
        </w:trPr>
        <w:tc>
          <w:tcPr>
            <w:tcW w:w="2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Winners Consistency  in ROA</w:t>
            </w:r>
          </w:p>
        </w:tc>
        <w:tc>
          <w:tcPr>
            <w:tcW w:w="2355" w:type="dxa"/>
            <w:tcBorders>
              <w:left w:val="single" w:sz="4" w:space="0" w:color="auto"/>
              <w:bottom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 </w:t>
            </w:r>
          </w:p>
        </w:tc>
        <w:tc>
          <w:tcPr>
            <w:tcW w:w="1828" w:type="dxa"/>
            <w:tcBorders>
              <w:bottom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 </w:t>
            </w:r>
          </w:p>
        </w:tc>
        <w:tc>
          <w:tcPr>
            <w:tcW w:w="1550" w:type="dxa"/>
            <w:tcBorders>
              <w:bottom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 </w:t>
            </w:r>
          </w:p>
        </w:tc>
        <w:tc>
          <w:tcPr>
            <w:tcW w:w="1668" w:type="dxa"/>
            <w:tcBorders>
              <w:bottom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 </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Winners companies</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 xml:space="preserve">Data </w:t>
            </w:r>
          </w:p>
        </w:tc>
        <w:tc>
          <w:tcPr>
            <w:tcW w:w="1828"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 xml:space="preserve">% Consistency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 xml:space="preserve">No of  as </w:t>
            </w:r>
          </w:p>
        </w:tc>
        <w:tc>
          <w:tcPr>
            <w:tcW w:w="1668" w:type="dxa"/>
            <w:tcBorders>
              <w:top w:val="single" w:sz="4" w:space="0" w:color="auto"/>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Consistency</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with respect to</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Period</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 xml:space="preserve">             For</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Repetitions</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in Whole</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ROA in 2001</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 </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One Repetition</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as Winner</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b/>
                <w:bCs/>
                <w:sz w:val="20"/>
                <w:szCs w:val="20"/>
              </w:rPr>
            </w:pPr>
            <w:r>
              <w:rPr>
                <w:rFonts w:ascii="Arial" w:hAnsi="Arial" w:cs="Arial"/>
                <w:b/>
                <w:bCs/>
                <w:sz w:val="20"/>
                <w:szCs w:val="20"/>
              </w:rPr>
              <w:t>Data Perios</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Security Paper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4</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40%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Oilfields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Al-Ghazi Tractors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9</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90%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Ghani Glass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7</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70%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Fauji Fertilizer Co</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8</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80%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PakTelephone Cables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place">
              <w:smartTag w:uri="urn:schemas-microsoft-com:office:smarttags" w:element="City">
                <w:r>
                  <w:rPr>
                    <w:rFonts w:ascii="Arial" w:hAnsi="Arial" w:cs="Arial"/>
                    <w:sz w:val="16"/>
                    <w:szCs w:val="16"/>
                  </w:rPr>
                  <w:t>Cambridge</w:t>
                </w:r>
              </w:smartTag>
            </w:smartTag>
            <w:r>
              <w:rPr>
                <w:rFonts w:ascii="Arial" w:hAnsi="Arial" w:cs="Arial"/>
                <w:sz w:val="16"/>
                <w:szCs w:val="16"/>
              </w:rPr>
              <w:t xml:space="preserve"> Pak</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20%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The Hub Power Co</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Unilever </w:t>
            </w: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IGI Insurance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5</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50%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Abbott Lab Pak</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9</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90%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Nestle </w:t>
            </w:r>
            <w:smartTag w:uri="urn:schemas-microsoft-com:office:smarttags" w:element="place">
              <w:smartTag w:uri="urn:schemas-microsoft-com:office:smarttags" w:element="country-region">
                <w:r>
                  <w:rPr>
                    <w:rFonts w:ascii="Arial" w:hAnsi="Arial" w:cs="Arial"/>
                    <w:sz w:val="16"/>
                    <w:szCs w:val="16"/>
                  </w:rPr>
                  <w:t>Pakistan</w:t>
                </w:r>
              </w:smartTag>
            </w:smartTag>
            <w:r>
              <w:rPr>
                <w:rFonts w:ascii="Arial" w:hAnsi="Arial" w:cs="Arial"/>
                <w:sz w:val="16"/>
                <w:szCs w:val="16"/>
              </w:rPr>
              <w:t xml:space="preserve">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6</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60%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 xml:space="preserve">Dawood Hercules </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5</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50%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Lakson Tobacco Co</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7</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70%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Millat Tractors Limited</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3</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30%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PTCL</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5</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50%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16"/>
                <w:szCs w:val="16"/>
              </w:rPr>
            </w:pPr>
            <w:r>
              <w:rPr>
                <w:rFonts w:ascii="Arial" w:hAnsi="Arial" w:cs="Arial"/>
                <w:sz w:val="16"/>
                <w:szCs w:val="16"/>
              </w:rPr>
              <w:t>Colgate - Palmolive Pak</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10 years</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10.00%</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100%</w:t>
            </w:r>
          </w:p>
        </w:tc>
      </w:tr>
      <w:tr w:rsidR="00B40CBA">
        <w:trPr>
          <w:trHeight w:val="1"/>
        </w:trPr>
        <w:tc>
          <w:tcPr>
            <w:tcW w:w="2899" w:type="dxa"/>
            <w:tcBorders>
              <w:top w:val="nil"/>
              <w:left w:val="single" w:sz="4" w:space="0" w:color="auto"/>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rPr>
            </w:pPr>
            <w:r w:rsidRPr="00850EFC">
              <w:rPr>
                <w:rFonts w:ascii="Arial" w:hAnsi="Arial" w:cs="Arial"/>
                <w:sz w:val="16"/>
                <w:szCs w:val="16"/>
              </w:rPr>
              <w:t>Average Consistency in 10 Years</w:t>
            </w:r>
          </w:p>
        </w:tc>
        <w:tc>
          <w:tcPr>
            <w:tcW w:w="2355"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 </w:t>
            </w:r>
          </w:p>
        </w:tc>
        <w:tc>
          <w:tcPr>
            <w:tcW w:w="182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 </w:t>
            </w:r>
          </w:p>
        </w:tc>
        <w:tc>
          <w:tcPr>
            <w:tcW w:w="1550"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rPr>
                <w:rFonts w:ascii="Arial" w:hAnsi="Arial" w:cs="Arial"/>
                <w:sz w:val="20"/>
                <w:szCs w:val="20"/>
              </w:rPr>
            </w:pPr>
            <w:r>
              <w:rPr>
                <w:rFonts w:ascii="Arial" w:hAnsi="Arial" w:cs="Arial"/>
                <w:sz w:val="20"/>
                <w:szCs w:val="20"/>
              </w:rPr>
              <w:t> </w:t>
            </w:r>
          </w:p>
        </w:tc>
        <w:tc>
          <w:tcPr>
            <w:tcW w:w="1668" w:type="dxa"/>
            <w:tcBorders>
              <w:top w:val="nil"/>
              <w:left w:val="nil"/>
              <w:bottom w:val="single" w:sz="4" w:space="0" w:color="auto"/>
              <w:right w:val="single" w:sz="4" w:space="0" w:color="auto"/>
            </w:tcBorders>
            <w:shd w:val="clear" w:color="auto" w:fill="auto"/>
            <w:noWrap/>
            <w:vAlign w:val="bottom"/>
          </w:tcPr>
          <w:p w:rsidR="00C744CD" w:rsidRDefault="00C744CD" w:rsidP="003E2086">
            <w:pPr>
              <w:spacing w:line="360" w:lineRule="auto"/>
              <w:jc w:val="right"/>
              <w:rPr>
                <w:rFonts w:ascii="Arial" w:hAnsi="Arial" w:cs="Arial"/>
                <w:sz w:val="20"/>
                <w:szCs w:val="20"/>
              </w:rPr>
            </w:pPr>
            <w:r>
              <w:rPr>
                <w:rFonts w:ascii="Arial" w:hAnsi="Arial" w:cs="Arial"/>
                <w:sz w:val="20"/>
                <w:szCs w:val="20"/>
              </w:rPr>
              <w:t>63%</w:t>
            </w:r>
          </w:p>
        </w:tc>
      </w:tr>
    </w:tbl>
    <w:p w:rsidR="0071700C" w:rsidRPr="00513A37" w:rsidRDefault="0071700C" w:rsidP="0071700C">
      <w:pPr>
        <w:spacing w:before="100" w:beforeAutospacing="1" w:after="100" w:afterAutospacing="1" w:line="360" w:lineRule="auto"/>
      </w:pPr>
      <w:r w:rsidRPr="00513A37">
        <w:t>This</w:t>
      </w:r>
      <w:r>
        <w:t xml:space="preserve"> table shows that the average performance consistency of the winners of 2001 was only 63%. Among the winners only </w:t>
      </w:r>
      <w:r w:rsidR="00510407">
        <w:t>Pakistan Oilfields</w:t>
      </w:r>
      <w:r>
        <w:t>, Unilever, Rafhan maize products and Colgate-Palmolive repeated itself 10 times as winner or 100%%</w:t>
      </w:r>
      <w:r w:rsidRPr="00513A37">
        <w:t xml:space="preserve"> </w:t>
      </w:r>
      <w:r>
        <w:t>of the whole data peri</w:t>
      </w:r>
      <w:r w:rsidR="008F3590">
        <w:t>od and hence maintained itself all the 10</w:t>
      </w:r>
      <w:r>
        <w:t xml:space="preserve"> times in the upper quartile.</w:t>
      </w:r>
      <w:r w:rsidR="00DE2CF6">
        <w:t xml:space="preserve"> Al-Ghazi tractors and abbot </w:t>
      </w:r>
      <w:r w:rsidR="00460E5C">
        <w:t>laboratories</w:t>
      </w:r>
      <w:r w:rsidR="00DE2CF6">
        <w:t xml:space="preserve"> </w:t>
      </w:r>
      <w:r w:rsidR="00B76EE8">
        <w:lastRenderedPageBreak/>
        <w:t>were 90</w:t>
      </w:r>
      <w:r>
        <w:t xml:space="preserve">% consistent in their </w:t>
      </w:r>
      <w:r w:rsidR="00460E5C">
        <w:t xml:space="preserve">ROA. </w:t>
      </w:r>
      <w:r>
        <w:t xml:space="preserve">The following bar chart represents consistency in the </w:t>
      </w:r>
      <w:r w:rsidR="00460E5C">
        <w:t xml:space="preserve">ROA </w:t>
      </w:r>
      <w:r w:rsidR="006D4A72">
        <w:t xml:space="preserve">of winners </w:t>
      </w:r>
      <w:r>
        <w:t>in 2001.</w:t>
      </w:r>
    </w:p>
    <w:p w:rsidR="009E2675" w:rsidRPr="00C744CD" w:rsidRDefault="002B1411" w:rsidP="003E2086">
      <w:pPr>
        <w:spacing w:before="100" w:beforeAutospacing="1" w:after="100" w:afterAutospacing="1" w:line="360" w:lineRule="auto"/>
        <w:rPr>
          <w:b/>
          <w:sz w:val="28"/>
          <w:szCs w:val="28"/>
        </w:rPr>
      </w:pPr>
      <w:r w:rsidRPr="00C744CD">
        <w:rPr>
          <w:noProof/>
        </w:rPr>
        <w:drawing>
          <wp:inline distT="0" distB="0" distL="0" distR="0">
            <wp:extent cx="5934075" cy="4086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9E2675" w:rsidRDefault="009E2675" w:rsidP="003E2086">
      <w:pPr>
        <w:spacing w:before="100" w:beforeAutospacing="1" w:after="100" w:afterAutospacing="1" w:line="360" w:lineRule="auto"/>
        <w:rPr>
          <w:b/>
          <w:sz w:val="28"/>
          <w:szCs w:val="28"/>
        </w:rPr>
      </w:pPr>
    </w:p>
    <w:p w:rsidR="009E2675" w:rsidRPr="00F94FA5" w:rsidRDefault="009E2675" w:rsidP="003E2086">
      <w:pPr>
        <w:spacing w:before="100" w:beforeAutospacing="1" w:after="100" w:afterAutospacing="1" w:line="360" w:lineRule="auto"/>
        <w:rPr>
          <w:b/>
          <w:sz w:val="28"/>
          <w:szCs w:val="28"/>
        </w:rPr>
      </w:pPr>
    </w:p>
    <w:p w:rsidR="009E2675" w:rsidRDefault="009E2675" w:rsidP="003E2086">
      <w:pPr>
        <w:spacing w:before="100" w:beforeAutospacing="1" w:after="100" w:afterAutospacing="1" w:line="360" w:lineRule="auto"/>
        <w:rPr>
          <w:b/>
          <w:sz w:val="28"/>
          <w:szCs w:val="28"/>
        </w:rPr>
      </w:pPr>
    </w:p>
    <w:p w:rsidR="00C20287" w:rsidRPr="00F94FA5" w:rsidRDefault="00C20287"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9E2675" w:rsidRDefault="009E2675" w:rsidP="003E2086">
      <w:pPr>
        <w:spacing w:before="100" w:beforeAutospacing="1" w:after="100" w:afterAutospacing="1" w:line="360" w:lineRule="auto"/>
        <w:rPr>
          <w:b/>
          <w:sz w:val="28"/>
          <w:szCs w:val="28"/>
        </w:rPr>
      </w:pPr>
      <w:r>
        <w:rPr>
          <w:b/>
          <w:sz w:val="28"/>
          <w:szCs w:val="28"/>
        </w:rPr>
        <w:t>Chapter 06</w:t>
      </w:r>
    </w:p>
    <w:p w:rsidR="009E2675" w:rsidRDefault="009E2675" w:rsidP="003E2086">
      <w:pPr>
        <w:spacing w:before="100" w:beforeAutospacing="1" w:after="100" w:afterAutospacing="1" w:line="360" w:lineRule="auto"/>
        <w:rPr>
          <w:b/>
          <w:sz w:val="28"/>
          <w:szCs w:val="28"/>
        </w:rPr>
      </w:pPr>
      <w:r>
        <w:rPr>
          <w:b/>
          <w:sz w:val="28"/>
          <w:szCs w:val="28"/>
        </w:rPr>
        <w:t>Data Analysis of ROE</w:t>
      </w:r>
    </w:p>
    <w:p w:rsidR="00625306" w:rsidRDefault="00625306" w:rsidP="003E2086">
      <w:pPr>
        <w:spacing w:before="100" w:beforeAutospacing="1" w:after="100" w:afterAutospacing="1" w:line="360" w:lineRule="auto"/>
        <w:rPr>
          <w:b/>
          <w:sz w:val="28"/>
          <w:szCs w:val="28"/>
        </w:rPr>
      </w:pPr>
      <w:r>
        <w:rPr>
          <w:b/>
          <w:sz w:val="28"/>
          <w:szCs w:val="28"/>
        </w:rPr>
        <w:t>Data handling and procedure followed:</w:t>
      </w:r>
    </w:p>
    <w:p w:rsidR="00D62043" w:rsidRDefault="00D62043" w:rsidP="003E2086">
      <w:pPr>
        <w:spacing w:before="100" w:beforeAutospacing="1" w:after="100" w:afterAutospacing="1" w:line="360" w:lineRule="auto"/>
      </w:pPr>
      <w:r w:rsidRPr="00D62043">
        <w:t xml:space="preserve">For calculating ROE, the second accounting measure of profitability in our analysis we collected the two required inputs of profit after tax and total common </w:t>
      </w:r>
      <w:r>
        <w:t>equity for all the 72 companies from KSE website and annual reports of the respec</w:t>
      </w:r>
      <w:r w:rsidR="0016488C">
        <w:t>tive companies from 2001 to 2010</w:t>
      </w:r>
      <w:r>
        <w:t xml:space="preserve">. </w:t>
      </w:r>
      <w:r w:rsidR="0016488C">
        <w:t>Then</w:t>
      </w:r>
      <w:r>
        <w:t xml:space="preserve"> for calculating ROE we used the following equation. </w:t>
      </w:r>
    </w:p>
    <w:p w:rsidR="0033763D" w:rsidRPr="002B1411" w:rsidRDefault="002B1411" w:rsidP="003E2086">
      <w:pPr>
        <w:spacing w:before="100" w:beforeAutospacing="1" w:after="100" w:afterAutospacing="1" w:line="360" w:lineRule="auto"/>
        <w:rPr>
          <w:b/>
          <w:position w:val="-11"/>
        </w:rPr>
      </w:pPr>
      <m:oMathPara>
        <m:oMath>
          <m:r>
            <w:rPr>
              <w:rFonts w:ascii="Cambria Math" w:hAnsi="Century Schoolbook"/>
            </w:rPr>
            <m:t xml:space="preserve">              </m:t>
          </m:r>
          <m:r>
            <w:rPr>
              <w:rFonts w:ascii="Cambria Math" w:hAnsi="Cambria Math"/>
            </w:rPr>
            <m:t>ROE</m:t>
          </m:r>
          <m:r>
            <w:rPr>
              <w:rFonts w:ascii="Cambria Math" w:hAnsi="Century Schoolbook"/>
            </w:rPr>
            <m:t>=</m:t>
          </m:r>
          <m:r>
            <w:rPr>
              <w:rFonts w:ascii="Cambria Math" w:hAnsi="Cambria Math"/>
            </w:rPr>
            <m:t>Net</m:t>
          </m:r>
          <m:r>
            <w:rPr>
              <w:rFonts w:ascii="Cambria Math" w:hAnsi="Century Schoolbook"/>
            </w:rPr>
            <m:t xml:space="preserve"> </m:t>
          </m:r>
          <m:r>
            <w:rPr>
              <w:rFonts w:ascii="Cambria Math" w:hAnsi="Cambria Math"/>
            </w:rPr>
            <m:t>IncomeAvailable</m:t>
          </m:r>
          <m:r>
            <w:rPr>
              <w:rFonts w:ascii="Cambria Math" w:hAnsi="Century Schoolbook"/>
            </w:rPr>
            <m:t xml:space="preserve"> </m:t>
          </m:r>
          <m:r>
            <w:rPr>
              <w:rFonts w:ascii="Cambria Math" w:hAnsi="Cambria Math"/>
            </w:rPr>
            <m:t>To</m:t>
          </m:r>
          <m:r>
            <w:rPr>
              <w:rFonts w:ascii="Cambria Math" w:hAnsi="Century Schoolbook"/>
            </w:rPr>
            <m:t xml:space="preserve"> </m:t>
          </m:r>
          <m:r>
            <w:rPr>
              <w:rFonts w:ascii="Cambria Math" w:hAnsi="Cambria Math"/>
            </w:rPr>
            <m:t>Common</m:t>
          </m:r>
          <m:r>
            <m:rPr>
              <m:sty m:val="p"/>
            </m:rPr>
            <w:rPr>
              <w:rFonts w:ascii="Cambria Math" w:hAnsi="Century Schoolbook"/>
            </w:rPr>
            <m:t xml:space="preserve"> </m:t>
          </m:r>
          <m:r>
            <w:rPr>
              <w:rFonts w:ascii="Cambria Math" w:hAnsi="Cambria Math"/>
            </w:rPr>
            <m:t>Stock</m:t>
          </m:r>
          <m:r>
            <w:rPr>
              <w:rFonts w:ascii="Century Schoolbook" w:hAnsi="Cambria Math"/>
            </w:rPr>
            <m:t>h</m:t>
          </m:r>
          <m:r>
            <w:rPr>
              <w:rFonts w:ascii="Cambria Math" w:hAnsi="Cambria Math"/>
            </w:rPr>
            <m:t>olders</m:t>
          </m:r>
          <m:r>
            <w:rPr>
              <w:rFonts w:ascii="Cambria Math" w:hAnsi="Century Schoolbook"/>
            </w:rPr>
            <m:t>/</m:t>
          </m:r>
          <m:r>
            <w:rPr>
              <w:rFonts w:ascii="Cambria Math" w:hAnsi="Cambria Math"/>
            </w:rPr>
            <m:t>Common</m:t>
          </m:r>
          <m:r>
            <w:rPr>
              <w:rFonts w:ascii="Cambria Math" w:hAnsi="Century Schoolbook"/>
            </w:rPr>
            <m:t xml:space="preserve"> </m:t>
          </m:r>
          <m:r>
            <w:rPr>
              <w:rFonts w:ascii="Cambria Math" w:hAnsi="Cambria Math"/>
            </w:rPr>
            <m:t>Equity</m:t>
          </m:r>
        </m:oMath>
      </m:oMathPara>
    </w:p>
    <w:p w:rsidR="009151C6" w:rsidRDefault="003D5D95" w:rsidP="003E2086">
      <w:pPr>
        <w:spacing w:before="100" w:beforeAutospacing="1" w:after="100" w:afterAutospacing="1" w:line="360" w:lineRule="auto"/>
      </w:pPr>
      <w:r>
        <w:t>All</w:t>
      </w:r>
      <w:r w:rsidR="0033763D">
        <w:t xml:space="preserve"> the 72 companies were arranged in the descending order of their ROE. The top 18 companies with respect to their ROE were selected in the top quartile list as winners and the worse 18 </w:t>
      </w:r>
      <w:r>
        <w:t>companies</w:t>
      </w:r>
      <w:r w:rsidR="0033763D">
        <w:t xml:space="preserve"> </w:t>
      </w:r>
      <w:r>
        <w:t>were selected</w:t>
      </w:r>
      <w:r w:rsidR="0033763D">
        <w:t xml:space="preserve"> </w:t>
      </w:r>
      <w:r w:rsidR="00C27E2A">
        <w:t xml:space="preserve">to </w:t>
      </w:r>
      <w:r w:rsidR="0033763D">
        <w:t xml:space="preserve">the bottom quartile as losers. </w:t>
      </w:r>
    </w:p>
    <w:p w:rsidR="00625306" w:rsidRDefault="00C27E2A" w:rsidP="003E2086">
      <w:pPr>
        <w:spacing w:before="100" w:beforeAutospacing="1" w:after="100" w:afterAutospacing="1" w:line="360" w:lineRule="auto"/>
      </w:pPr>
      <w:r>
        <w:t>The</w:t>
      </w:r>
      <w:r w:rsidR="0033763D">
        <w:t xml:space="preserve"> following table 6.1 shows the </w:t>
      </w:r>
      <w:r>
        <w:t>variation</w:t>
      </w:r>
      <w:r w:rsidR="0033763D">
        <w:t xml:space="preserve"> in the</w:t>
      </w:r>
      <w:r>
        <w:t xml:space="preserve"> </w:t>
      </w:r>
      <w:r w:rsidR="0033763D">
        <w:t>ROE of the winner group.</w:t>
      </w:r>
    </w:p>
    <w:p w:rsidR="00027E42" w:rsidRPr="00027E42" w:rsidRDefault="00027E42" w:rsidP="003E2086">
      <w:pPr>
        <w:spacing w:before="100" w:beforeAutospacing="1" w:after="100" w:afterAutospacing="1" w:line="360" w:lineRule="auto"/>
        <w:rPr>
          <w:b/>
          <w:sz w:val="28"/>
          <w:szCs w:val="28"/>
        </w:rPr>
      </w:pPr>
      <w:r>
        <w:rPr>
          <w:b/>
          <w:sz w:val="28"/>
          <w:szCs w:val="28"/>
        </w:rPr>
        <w:t>Table 6.1</w:t>
      </w:r>
    </w:p>
    <w:tbl>
      <w:tblPr>
        <w:tblW w:w="10099" w:type="dxa"/>
        <w:tblInd w:w="89" w:type="dxa"/>
        <w:tblLook w:val="0000" w:firstRow="0" w:lastRow="0" w:firstColumn="0" w:lastColumn="0" w:noHBand="0" w:noVBand="0"/>
      </w:tblPr>
      <w:tblGrid>
        <w:gridCol w:w="2850"/>
        <w:gridCol w:w="1412"/>
        <w:gridCol w:w="2743"/>
        <w:gridCol w:w="3094"/>
      </w:tblGrid>
      <w:tr w:rsidR="005C2087">
        <w:trPr>
          <w:trHeight w:val="341"/>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b/>
                <w:bCs/>
                <w:sz w:val="20"/>
                <w:szCs w:val="20"/>
              </w:rPr>
            </w:pPr>
            <w:r>
              <w:rPr>
                <w:rFonts w:ascii="Arial" w:hAnsi="Arial" w:cs="Arial"/>
                <w:b/>
                <w:bCs/>
                <w:sz w:val="20"/>
                <w:szCs w:val="20"/>
              </w:rPr>
              <w:t>Winners WRT ROE</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b/>
                <w:bCs/>
                <w:sz w:val="20"/>
                <w:szCs w:val="20"/>
              </w:rPr>
            </w:pPr>
            <w:r>
              <w:rPr>
                <w:rFonts w:ascii="Arial" w:hAnsi="Arial" w:cs="Arial"/>
                <w:b/>
                <w:bCs/>
                <w:sz w:val="20"/>
                <w:szCs w:val="20"/>
              </w:rPr>
              <w:t> </w:t>
            </w:r>
          </w:p>
        </w:tc>
        <w:tc>
          <w:tcPr>
            <w:tcW w:w="2743"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b/>
                <w:bCs/>
                <w:sz w:val="20"/>
                <w:szCs w:val="20"/>
              </w:rPr>
            </w:pPr>
            <w:r>
              <w:rPr>
                <w:rFonts w:ascii="Arial" w:hAnsi="Arial" w:cs="Arial"/>
                <w:b/>
                <w:bCs/>
                <w:sz w:val="20"/>
                <w:szCs w:val="20"/>
              </w:rPr>
              <w:t> </w:t>
            </w:r>
          </w:p>
        </w:tc>
        <w:tc>
          <w:tcPr>
            <w:tcW w:w="3094"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 </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years</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Av.ROE</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St.Deviation in ROE</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Coefficient of variation</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2001</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50.88%</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35.84%</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0.70</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2002</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72.24%</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71.58%</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0.99</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2003</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51.83%</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27.02%</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0.52</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2004</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54.59%</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31.49%</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0.58</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2005</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46.85%</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11.92%</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0.25</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2006</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48.08%</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16.45%</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0.34</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2007</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58.74%</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34.34%</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0.58</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2008</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43.92%</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16.49%</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0.38</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2009</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39.22%</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20.81%</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0.53</w:t>
            </w:r>
          </w:p>
        </w:tc>
      </w:tr>
      <w:tr w:rsidR="005C2087">
        <w:trPr>
          <w:trHeight w:val="341"/>
        </w:trPr>
        <w:tc>
          <w:tcPr>
            <w:tcW w:w="2850"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lastRenderedPageBreak/>
              <w:t>2010</w:t>
            </w:r>
          </w:p>
        </w:tc>
        <w:tc>
          <w:tcPr>
            <w:tcW w:w="1412"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92.90%</w:t>
            </w:r>
          </w:p>
        </w:tc>
        <w:tc>
          <w:tcPr>
            <w:tcW w:w="2743"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22.30%</w:t>
            </w:r>
          </w:p>
        </w:tc>
        <w:tc>
          <w:tcPr>
            <w:tcW w:w="30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0.24</w:t>
            </w:r>
          </w:p>
        </w:tc>
      </w:tr>
    </w:tbl>
    <w:p w:rsidR="009E2675" w:rsidRDefault="00C7415D" w:rsidP="003E2086">
      <w:pPr>
        <w:spacing w:before="100" w:beforeAutospacing="1" w:after="100" w:afterAutospacing="1" w:line="360" w:lineRule="auto"/>
      </w:pPr>
      <w:r w:rsidRPr="00C7415D">
        <w:t>The average</w:t>
      </w:r>
      <w:r>
        <w:t xml:space="preserve"> ROE of the winners never experi</w:t>
      </w:r>
      <w:r w:rsidRPr="00C7415D">
        <w:t>en</w:t>
      </w:r>
      <w:r>
        <w:t>ce</w:t>
      </w:r>
      <w:r w:rsidRPr="00C7415D">
        <w:t>d negative momentum</w:t>
      </w:r>
      <w:r>
        <w:t xml:space="preserve">. However its average ROE experienced the lowest trend in the year 2008 and 2009 may be due to the bad economic and political conditions in the country. </w:t>
      </w:r>
    </w:p>
    <w:p w:rsidR="00C7415D" w:rsidRPr="00C7415D" w:rsidRDefault="00C7415D" w:rsidP="003E2086">
      <w:pPr>
        <w:spacing w:before="100" w:beforeAutospacing="1" w:after="100" w:afterAutospacing="1" w:line="360" w:lineRule="auto"/>
      </w:pPr>
      <w:r>
        <w:t xml:space="preserve">The following bar chart represents the average ROE of </w:t>
      </w:r>
      <w:r w:rsidR="00397114">
        <w:t>winners</w:t>
      </w:r>
      <w:r>
        <w:t xml:space="preserve"> during the </w:t>
      </w:r>
      <w:r w:rsidR="00397114">
        <w:t>whole</w:t>
      </w:r>
      <w:r>
        <w:t xml:space="preserve"> data period of ten years.</w:t>
      </w:r>
    </w:p>
    <w:p w:rsidR="005C2087" w:rsidRDefault="005C2087" w:rsidP="003E2086">
      <w:pPr>
        <w:spacing w:before="100" w:beforeAutospacing="1" w:after="100" w:afterAutospacing="1" w:line="360" w:lineRule="auto"/>
        <w:rPr>
          <w:b/>
          <w:sz w:val="28"/>
          <w:szCs w:val="28"/>
        </w:rPr>
      </w:pPr>
    </w:p>
    <w:p w:rsidR="005C2087" w:rsidRPr="005C2087" w:rsidRDefault="002B1411" w:rsidP="003E2086">
      <w:pPr>
        <w:spacing w:before="100" w:beforeAutospacing="1" w:after="100" w:afterAutospacing="1" w:line="360" w:lineRule="auto"/>
        <w:rPr>
          <w:b/>
          <w:sz w:val="28"/>
          <w:szCs w:val="28"/>
        </w:rPr>
      </w:pPr>
      <w:r w:rsidRPr="005C2087">
        <w:rPr>
          <w:noProof/>
        </w:rPr>
        <w:drawing>
          <wp:inline distT="0" distB="0" distL="0" distR="0">
            <wp:extent cx="5934075" cy="408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1A4AD4" w:rsidRDefault="001A4AD4" w:rsidP="003E2086">
      <w:pPr>
        <w:spacing w:before="100" w:beforeAutospacing="1" w:after="100" w:afterAutospacing="1" w:line="360" w:lineRule="auto"/>
        <w:rPr>
          <w:b/>
          <w:sz w:val="28"/>
          <w:szCs w:val="28"/>
        </w:rPr>
      </w:pPr>
    </w:p>
    <w:p w:rsidR="006A2181" w:rsidRDefault="006A2181" w:rsidP="003E2086">
      <w:pPr>
        <w:spacing w:before="100" w:beforeAutospacing="1" w:after="100" w:afterAutospacing="1" w:line="360" w:lineRule="auto"/>
      </w:pPr>
    </w:p>
    <w:p w:rsidR="006A2181" w:rsidRDefault="006A2181" w:rsidP="003E2086">
      <w:pPr>
        <w:spacing w:before="100" w:beforeAutospacing="1" w:after="100" w:afterAutospacing="1" w:line="360" w:lineRule="auto"/>
      </w:pPr>
    </w:p>
    <w:p w:rsidR="001A4AD4" w:rsidRDefault="009E6575" w:rsidP="003E2086">
      <w:pPr>
        <w:spacing w:before="100" w:beforeAutospacing="1" w:after="100" w:afterAutospacing="1" w:line="360" w:lineRule="auto"/>
        <w:rPr>
          <w:b/>
          <w:sz w:val="28"/>
          <w:szCs w:val="28"/>
        </w:rPr>
      </w:pPr>
      <w:r w:rsidRPr="009E6575">
        <w:lastRenderedPageBreak/>
        <w:t>The standard deviation in the average ROE of winners is represented in the following graph</w:t>
      </w:r>
      <w:r>
        <w:rPr>
          <w:b/>
          <w:sz w:val="28"/>
          <w:szCs w:val="28"/>
        </w:rPr>
        <w:t>.</w:t>
      </w:r>
    </w:p>
    <w:p w:rsidR="00120ACE" w:rsidRDefault="00120ACE" w:rsidP="003E2086">
      <w:pPr>
        <w:spacing w:before="100" w:beforeAutospacing="1" w:after="100" w:afterAutospacing="1" w:line="360" w:lineRule="auto"/>
        <w:rPr>
          <w:b/>
          <w:sz w:val="28"/>
          <w:szCs w:val="28"/>
        </w:rPr>
      </w:pPr>
    </w:p>
    <w:p w:rsidR="00120ACE" w:rsidRDefault="00120ACE" w:rsidP="003E2086">
      <w:pPr>
        <w:spacing w:before="100" w:beforeAutospacing="1" w:after="100" w:afterAutospacing="1" w:line="360" w:lineRule="auto"/>
        <w:rPr>
          <w:b/>
          <w:sz w:val="28"/>
          <w:szCs w:val="28"/>
        </w:rPr>
      </w:pPr>
    </w:p>
    <w:p w:rsidR="00120ACE" w:rsidRPr="00120ACE" w:rsidRDefault="00120ACE" w:rsidP="003E2086">
      <w:pPr>
        <w:spacing w:before="100" w:beforeAutospacing="1" w:after="100" w:afterAutospacing="1" w:line="360" w:lineRule="auto"/>
      </w:pPr>
    </w:p>
    <w:p w:rsidR="00120ACE" w:rsidRPr="00120ACE" w:rsidRDefault="00120ACE" w:rsidP="003E2086">
      <w:pPr>
        <w:spacing w:before="100" w:beforeAutospacing="1" w:after="100" w:afterAutospacing="1" w:line="360" w:lineRule="auto"/>
      </w:pPr>
      <w:r>
        <w:t>.</w:t>
      </w:r>
    </w:p>
    <w:p w:rsidR="001A4AD4" w:rsidRPr="005C2087" w:rsidRDefault="002B1411" w:rsidP="003E2086">
      <w:pPr>
        <w:spacing w:before="100" w:beforeAutospacing="1" w:after="100" w:afterAutospacing="1" w:line="360" w:lineRule="auto"/>
        <w:rPr>
          <w:b/>
          <w:sz w:val="28"/>
          <w:szCs w:val="28"/>
        </w:rPr>
      </w:pPr>
      <w:r w:rsidRPr="005C2087">
        <w:rPr>
          <w:noProof/>
        </w:rPr>
        <w:drawing>
          <wp:inline distT="0" distB="0" distL="0" distR="0">
            <wp:extent cx="5934075" cy="4086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1A4AD4" w:rsidRPr="001A4AD4" w:rsidRDefault="001A4AD4" w:rsidP="003E2086">
      <w:pPr>
        <w:spacing w:before="100" w:beforeAutospacing="1" w:after="100" w:afterAutospacing="1" w:line="360" w:lineRule="auto"/>
        <w:rPr>
          <w:b/>
          <w:sz w:val="28"/>
          <w:szCs w:val="28"/>
        </w:rPr>
      </w:pPr>
    </w:p>
    <w:p w:rsidR="00D318DD" w:rsidRPr="001A4AD4" w:rsidRDefault="00D318DD" w:rsidP="003E2086">
      <w:pPr>
        <w:spacing w:before="100" w:beforeAutospacing="1" w:after="100" w:afterAutospacing="1" w:line="360" w:lineRule="auto"/>
        <w:rPr>
          <w:b/>
          <w:sz w:val="28"/>
          <w:szCs w:val="28"/>
        </w:rPr>
      </w:pPr>
    </w:p>
    <w:p w:rsidR="00DE184A" w:rsidRDefault="00DE184A" w:rsidP="003E2086">
      <w:pPr>
        <w:spacing w:before="100" w:beforeAutospacing="1" w:after="100" w:afterAutospacing="1" w:line="360" w:lineRule="auto"/>
      </w:pPr>
    </w:p>
    <w:p w:rsidR="00DE184A" w:rsidRDefault="00DE184A" w:rsidP="003E2086">
      <w:pPr>
        <w:spacing w:before="100" w:beforeAutospacing="1" w:after="100" w:afterAutospacing="1" w:line="360" w:lineRule="auto"/>
      </w:pPr>
    </w:p>
    <w:p w:rsidR="00DE184A" w:rsidRDefault="00DE184A" w:rsidP="003E2086">
      <w:pPr>
        <w:spacing w:before="100" w:beforeAutospacing="1" w:after="100" w:afterAutospacing="1" w:line="360" w:lineRule="auto"/>
      </w:pPr>
    </w:p>
    <w:p w:rsidR="00DE184A" w:rsidRDefault="00DE184A" w:rsidP="003E2086">
      <w:pPr>
        <w:spacing w:before="100" w:beforeAutospacing="1" w:after="100" w:afterAutospacing="1" w:line="360" w:lineRule="auto"/>
      </w:pPr>
    </w:p>
    <w:p w:rsidR="00D318DD" w:rsidRDefault="004B6CAE" w:rsidP="003E2086">
      <w:pPr>
        <w:spacing w:before="100" w:beforeAutospacing="1" w:after="100" w:afterAutospacing="1" w:line="360" w:lineRule="auto"/>
        <w:rPr>
          <w:b/>
          <w:sz w:val="28"/>
          <w:szCs w:val="28"/>
        </w:rPr>
      </w:pPr>
      <w:r w:rsidRPr="00120ACE">
        <w:t>The mean variation in the average ROE of winners was 51.10%</w:t>
      </w:r>
      <w:r>
        <w:t>. The following graph shows the annual variation in the average ROE of the winners</w:t>
      </w:r>
    </w:p>
    <w:p w:rsidR="00DE184A" w:rsidRDefault="002B1411" w:rsidP="003E2086">
      <w:pPr>
        <w:spacing w:before="100" w:beforeAutospacing="1" w:after="100" w:afterAutospacing="1" w:line="360" w:lineRule="auto"/>
        <w:rPr>
          <w:b/>
          <w:sz w:val="28"/>
          <w:szCs w:val="28"/>
        </w:rPr>
      </w:pPr>
      <w:r w:rsidRPr="005C2087">
        <w:rPr>
          <w:noProof/>
        </w:rPr>
        <w:drawing>
          <wp:inline distT="0" distB="0" distL="0" distR="0">
            <wp:extent cx="5934075" cy="408622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E3522E" w:rsidRDefault="00E3522E" w:rsidP="003E2086">
      <w:pPr>
        <w:spacing w:before="100" w:beforeAutospacing="1" w:after="100" w:afterAutospacing="1" w:line="360" w:lineRule="auto"/>
      </w:pPr>
    </w:p>
    <w:p w:rsidR="00E3522E" w:rsidRDefault="00E3522E" w:rsidP="003E2086">
      <w:pPr>
        <w:spacing w:before="100" w:beforeAutospacing="1" w:after="100" w:afterAutospacing="1" w:line="360" w:lineRule="auto"/>
      </w:pPr>
    </w:p>
    <w:p w:rsidR="00E3522E" w:rsidRDefault="00E3522E" w:rsidP="003E2086">
      <w:pPr>
        <w:spacing w:before="100" w:beforeAutospacing="1" w:after="100" w:afterAutospacing="1" w:line="360" w:lineRule="auto"/>
      </w:pPr>
    </w:p>
    <w:p w:rsidR="00E3522E" w:rsidRDefault="00E3522E" w:rsidP="003E2086">
      <w:pPr>
        <w:spacing w:before="100" w:beforeAutospacing="1" w:after="100" w:afterAutospacing="1" w:line="360" w:lineRule="auto"/>
      </w:pPr>
    </w:p>
    <w:p w:rsidR="00E3522E" w:rsidRDefault="00E3522E" w:rsidP="003E2086">
      <w:pPr>
        <w:spacing w:before="100" w:beforeAutospacing="1" w:after="100" w:afterAutospacing="1" w:line="360" w:lineRule="auto"/>
      </w:pPr>
    </w:p>
    <w:p w:rsidR="00E3522E" w:rsidRDefault="00E3522E" w:rsidP="003E2086">
      <w:pPr>
        <w:spacing w:before="100" w:beforeAutospacing="1" w:after="100" w:afterAutospacing="1" w:line="360" w:lineRule="auto"/>
      </w:pPr>
    </w:p>
    <w:p w:rsidR="00E3522E" w:rsidRDefault="00E3522E" w:rsidP="003E2086">
      <w:pPr>
        <w:spacing w:before="100" w:beforeAutospacing="1" w:after="100" w:afterAutospacing="1" w:line="360" w:lineRule="auto"/>
      </w:pPr>
    </w:p>
    <w:p w:rsidR="00E3522E" w:rsidRDefault="00E3522E" w:rsidP="003E2086">
      <w:pPr>
        <w:spacing w:before="100" w:beforeAutospacing="1" w:after="100" w:afterAutospacing="1" w:line="360" w:lineRule="auto"/>
      </w:pPr>
    </w:p>
    <w:p w:rsidR="00DE184A" w:rsidRPr="00E3522E" w:rsidRDefault="00DE184A" w:rsidP="003E2086">
      <w:pPr>
        <w:spacing w:before="100" w:beforeAutospacing="1" w:after="100" w:afterAutospacing="1" w:line="360" w:lineRule="auto"/>
      </w:pPr>
      <w:r w:rsidRPr="00DE184A">
        <w:t>Table 6.2</w:t>
      </w:r>
      <w:r>
        <w:t xml:space="preserve"> shows the average ROE of losers</w:t>
      </w:r>
      <w:r w:rsidR="00E3522E">
        <w:t xml:space="preserve"> its standard deviation and coefficient of variation.</w:t>
      </w:r>
    </w:p>
    <w:p w:rsidR="00DE184A" w:rsidRPr="001A4AD4" w:rsidRDefault="000B64CB" w:rsidP="003E2086">
      <w:pPr>
        <w:spacing w:before="100" w:beforeAutospacing="1" w:after="100" w:afterAutospacing="1" w:line="360" w:lineRule="auto"/>
        <w:rPr>
          <w:b/>
          <w:sz w:val="28"/>
          <w:szCs w:val="28"/>
        </w:rPr>
      </w:pPr>
      <w:r>
        <w:rPr>
          <w:b/>
          <w:sz w:val="28"/>
          <w:szCs w:val="28"/>
        </w:rPr>
        <w:t>Table 6.2</w:t>
      </w:r>
    </w:p>
    <w:tbl>
      <w:tblPr>
        <w:tblW w:w="9928" w:type="dxa"/>
        <w:tblInd w:w="89" w:type="dxa"/>
        <w:tblLook w:val="0000" w:firstRow="0" w:lastRow="0" w:firstColumn="0" w:lastColumn="0" w:noHBand="0" w:noVBand="0"/>
      </w:tblPr>
      <w:tblGrid>
        <w:gridCol w:w="2902"/>
        <w:gridCol w:w="1438"/>
        <w:gridCol w:w="2794"/>
        <w:gridCol w:w="2794"/>
      </w:tblGrid>
      <w:tr w:rsidR="005C2087">
        <w:trPr>
          <w:trHeight w:val="265"/>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b/>
                <w:bCs/>
                <w:sz w:val="20"/>
                <w:szCs w:val="20"/>
              </w:rPr>
            </w:pPr>
            <w:r>
              <w:rPr>
                <w:rFonts w:ascii="Arial" w:hAnsi="Arial" w:cs="Arial"/>
                <w:b/>
                <w:bCs/>
                <w:sz w:val="20"/>
                <w:szCs w:val="20"/>
              </w:rPr>
              <w:t>Losers WRT ROE</w:t>
            </w:r>
          </w:p>
        </w:tc>
        <w:tc>
          <w:tcPr>
            <w:tcW w:w="1438"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b/>
                <w:bCs/>
                <w:sz w:val="20"/>
                <w:szCs w:val="20"/>
              </w:rPr>
            </w:pPr>
            <w:r>
              <w:rPr>
                <w:rFonts w:ascii="Arial" w:hAnsi="Arial" w:cs="Arial"/>
                <w:b/>
                <w:bCs/>
                <w:sz w:val="20"/>
                <w:szCs w:val="20"/>
              </w:rPr>
              <w:t> </w:t>
            </w:r>
          </w:p>
        </w:tc>
        <w:tc>
          <w:tcPr>
            <w:tcW w:w="2794"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b/>
                <w:bCs/>
                <w:sz w:val="20"/>
                <w:szCs w:val="20"/>
              </w:rPr>
            </w:pPr>
            <w:r>
              <w:rPr>
                <w:rFonts w:ascii="Arial" w:hAnsi="Arial" w:cs="Arial"/>
                <w:b/>
                <w:bCs/>
                <w:sz w:val="20"/>
                <w:szCs w:val="20"/>
              </w:rPr>
              <w:t> </w:t>
            </w:r>
          </w:p>
        </w:tc>
        <w:tc>
          <w:tcPr>
            <w:tcW w:w="2794"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 </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years</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Av.ROE</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St.Deviation in ROE</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rPr>
                <w:rFonts w:ascii="Arial" w:hAnsi="Arial" w:cs="Arial"/>
                <w:sz w:val="20"/>
                <w:szCs w:val="20"/>
              </w:rPr>
            </w:pPr>
            <w:r>
              <w:rPr>
                <w:rFonts w:ascii="Arial" w:hAnsi="Arial" w:cs="Arial"/>
                <w:sz w:val="20"/>
                <w:szCs w:val="20"/>
              </w:rPr>
              <w:t>Coefficient of variation</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2001</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-65.22%</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116.61%</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-1.78</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2002</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-0.08%</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17.03%</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-203.68</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2003</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-5.74%</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25.36%</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-4.42</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2004</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11.83%</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4.41%</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0.37</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2005</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0.19%</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26.60%</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142.13</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2006</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-84.37%</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383.31%</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-4.54</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2007</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-7.87%</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31.09%</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-3.95</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2008</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-36.61%</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68.81%</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-1.88</w:t>
            </w:r>
          </w:p>
        </w:tc>
      </w:tr>
      <w:tr w:rsidR="005C2087">
        <w:trPr>
          <w:trHeight w:val="265"/>
        </w:trPr>
        <w:tc>
          <w:tcPr>
            <w:tcW w:w="2902" w:type="dxa"/>
            <w:tcBorders>
              <w:top w:val="nil"/>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2009</w:t>
            </w:r>
          </w:p>
        </w:tc>
        <w:tc>
          <w:tcPr>
            <w:tcW w:w="1438"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-59.71%</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80.50%</w:t>
            </w:r>
          </w:p>
        </w:tc>
        <w:tc>
          <w:tcPr>
            <w:tcW w:w="2794" w:type="dxa"/>
            <w:tcBorders>
              <w:top w:val="nil"/>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-1.35</w:t>
            </w:r>
          </w:p>
        </w:tc>
      </w:tr>
      <w:tr w:rsidR="005C2087">
        <w:trPr>
          <w:trHeight w:val="265"/>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2010</w:t>
            </w:r>
          </w:p>
        </w:tc>
        <w:tc>
          <w:tcPr>
            <w:tcW w:w="1438"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-217.00%</w:t>
            </w:r>
          </w:p>
        </w:tc>
        <w:tc>
          <w:tcPr>
            <w:tcW w:w="2794"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649.45%</w:t>
            </w:r>
          </w:p>
        </w:tc>
        <w:tc>
          <w:tcPr>
            <w:tcW w:w="2794" w:type="dxa"/>
            <w:tcBorders>
              <w:top w:val="single" w:sz="4" w:space="0" w:color="auto"/>
              <w:left w:val="nil"/>
              <w:bottom w:val="single" w:sz="4" w:space="0" w:color="auto"/>
              <w:right w:val="single" w:sz="4" w:space="0" w:color="auto"/>
            </w:tcBorders>
            <w:shd w:val="clear" w:color="auto" w:fill="auto"/>
            <w:noWrap/>
            <w:vAlign w:val="bottom"/>
          </w:tcPr>
          <w:p w:rsidR="005C2087" w:rsidRDefault="005C2087" w:rsidP="003E2086">
            <w:pPr>
              <w:spacing w:line="360" w:lineRule="auto"/>
              <w:jc w:val="right"/>
              <w:rPr>
                <w:rFonts w:ascii="Arial" w:hAnsi="Arial" w:cs="Arial"/>
                <w:sz w:val="20"/>
                <w:szCs w:val="20"/>
              </w:rPr>
            </w:pPr>
            <w:r>
              <w:rPr>
                <w:rFonts w:ascii="Arial" w:hAnsi="Arial" w:cs="Arial"/>
                <w:sz w:val="20"/>
                <w:szCs w:val="20"/>
              </w:rPr>
              <w:t>-2.99</w:t>
            </w:r>
          </w:p>
        </w:tc>
      </w:tr>
    </w:tbl>
    <w:p w:rsidR="00D318DD" w:rsidRDefault="006821D0" w:rsidP="003E2086">
      <w:pPr>
        <w:spacing w:before="100" w:beforeAutospacing="1" w:after="100" w:afterAutospacing="1" w:line="360" w:lineRule="auto"/>
      </w:pPr>
      <w:r w:rsidRPr="006821D0">
        <w:t>The average ROE of losers were positive only in 2004 and 2005 or only 20% of the time and 80% of the time</w:t>
      </w:r>
      <w:r w:rsidR="00BF15C8">
        <w:t xml:space="preserve"> the whole losers group were having negative equity.</w:t>
      </w:r>
    </w:p>
    <w:p w:rsidR="00BF15C8" w:rsidRPr="006821D0" w:rsidRDefault="00BF15C8" w:rsidP="003E2086">
      <w:pPr>
        <w:spacing w:before="100" w:beforeAutospacing="1" w:after="100" w:afterAutospacing="1" w:line="360" w:lineRule="auto"/>
      </w:pPr>
      <w:r>
        <w:t xml:space="preserve">The following bar </w:t>
      </w:r>
      <w:r w:rsidR="000756E6">
        <w:t>chart represents</w:t>
      </w:r>
      <w:r>
        <w:t xml:space="preserve"> </w:t>
      </w:r>
      <w:r w:rsidR="000756E6">
        <w:t>these phenomena</w:t>
      </w:r>
      <w:r>
        <w:t xml:space="preserve">. </w:t>
      </w:r>
    </w:p>
    <w:p w:rsidR="00D318DD" w:rsidRPr="006821D0" w:rsidRDefault="002B1411" w:rsidP="003E2086">
      <w:pPr>
        <w:spacing w:before="100" w:beforeAutospacing="1" w:after="100" w:afterAutospacing="1" w:line="360" w:lineRule="auto"/>
      </w:pPr>
      <w:r w:rsidRPr="006821D0">
        <w:rPr>
          <w:noProof/>
        </w:rPr>
        <w:lastRenderedPageBreak/>
        <w:drawing>
          <wp:inline distT="0" distB="0" distL="0" distR="0">
            <wp:extent cx="5934075" cy="4086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5C2087" w:rsidRPr="00BF15C8" w:rsidRDefault="00BF15C8" w:rsidP="003E2086">
      <w:pPr>
        <w:spacing w:before="100" w:beforeAutospacing="1" w:after="100" w:afterAutospacing="1" w:line="360" w:lineRule="auto"/>
      </w:pPr>
      <w:r w:rsidRPr="00BF15C8">
        <w:t>The standard deviation in the ROE of the losers is represented by the graph below for the whole ten years data period.</w:t>
      </w:r>
    </w:p>
    <w:p w:rsidR="005C2087" w:rsidRDefault="002B1411" w:rsidP="003E2086">
      <w:pPr>
        <w:spacing w:before="100" w:beforeAutospacing="1" w:after="100" w:afterAutospacing="1" w:line="360" w:lineRule="auto"/>
        <w:rPr>
          <w:b/>
          <w:sz w:val="28"/>
          <w:szCs w:val="28"/>
        </w:rPr>
      </w:pPr>
      <w:r w:rsidRPr="00BF15C8">
        <w:rPr>
          <w:noProof/>
        </w:rPr>
        <w:lastRenderedPageBreak/>
        <w:drawing>
          <wp:inline distT="0" distB="0" distL="0" distR="0">
            <wp:extent cx="5934075" cy="4086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5C2087" w:rsidRDefault="00BF15C8" w:rsidP="003E2086">
      <w:pPr>
        <w:spacing w:before="100" w:beforeAutospacing="1" w:after="100" w:afterAutospacing="1" w:line="360" w:lineRule="auto"/>
      </w:pPr>
      <w:r w:rsidRPr="00537567">
        <w:t xml:space="preserve">The </w:t>
      </w:r>
      <w:r>
        <w:t>coefficient of variation suggests that average ROE was highly volatile during the whole data period as compared to winners.</w:t>
      </w:r>
      <w:r w:rsidR="00537567">
        <w:t xml:space="preserve"> Again it would be mention worthy that PIA and KESC heavy negative equities caused the whole quartile down and played an outlier role.</w:t>
      </w:r>
    </w:p>
    <w:p w:rsidR="00CB5AEF" w:rsidRPr="00BF15C8" w:rsidRDefault="00CB5AEF" w:rsidP="003E2086">
      <w:pPr>
        <w:spacing w:before="100" w:beforeAutospacing="1" w:after="100" w:afterAutospacing="1" w:line="360" w:lineRule="auto"/>
      </w:pPr>
      <w:r>
        <w:t>The following line chart shows the</w:t>
      </w:r>
      <w:r w:rsidR="00986DCC">
        <w:t xml:space="preserve"> high </w:t>
      </w:r>
      <w:r>
        <w:t>variation in the average ROE of the loser group.</w:t>
      </w:r>
    </w:p>
    <w:p w:rsidR="005C2087" w:rsidRPr="005C2087" w:rsidRDefault="002B1411" w:rsidP="003E2086">
      <w:pPr>
        <w:spacing w:before="100" w:beforeAutospacing="1" w:after="100" w:afterAutospacing="1" w:line="360" w:lineRule="auto"/>
        <w:rPr>
          <w:b/>
          <w:sz w:val="28"/>
          <w:szCs w:val="28"/>
        </w:rPr>
      </w:pPr>
      <w:r w:rsidRPr="005C2087">
        <w:rPr>
          <w:noProof/>
        </w:rPr>
        <w:lastRenderedPageBreak/>
        <w:drawing>
          <wp:inline distT="0" distB="0" distL="0" distR="0">
            <wp:extent cx="5934075" cy="408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D318DD" w:rsidRDefault="00D318DD" w:rsidP="003E2086">
      <w:pPr>
        <w:spacing w:before="100" w:beforeAutospacing="1" w:after="100" w:afterAutospacing="1" w:line="360" w:lineRule="auto"/>
        <w:rPr>
          <w:b/>
          <w:sz w:val="28"/>
          <w:szCs w:val="28"/>
        </w:rPr>
      </w:pPr>
    </w:p>
    <w:p w:rsidR="00D318DD" w:rsidRPr="00D2496E" w:rsidRDefault="00D2496E" w:rsidP="003E2086">
      <w:pPr>
        <w:spacing w:before="100" w:beforeAutospacing="1" w:after="100" w:afterAutospacing="1" w:line="360" w:lineRule="auto"/>
      </w:pPr>
      <w:r w:rsidRPr="00D2496E">
        <w:t>Thus this study confirms that the winners were more consistent and less volatile in their ROE as compare to losers</w:t>
      </w:r>
    </w:p>
    <w:p w:rsidR="00D2496E" w:rsidRDefault="00D2496E" w:rsidP="003E2086">
      <w:pPr>
        <w:spacing w:before="100" w:beforeAutospacing="1" w:after="100" w:afterAutospacing="1" w:line="360" w:lineRule="auto"/>
        <w:rPr>
          <w:b/>
          <w:sz w:val="28"/>
          <w:szCs w:val="28"/>
        </w:rPr>
      </w:pPr>
    </w:p>
    <w:p w:rsidR="00D2496E" w:rsidRDefault="00D2496E" w:rsidP="003E2086">
      <w:pPr>
        <w:spacing w:before="100" w:beforeAutospacing="1" w:after="100" w:afterAutospacing="1" w:line="360" w:lineRule="auto"/>
        <w:rPr>
          <w:b/>
          <w:sz w:val="28"/>
          <w:szCs w:val="28"/>
        </w:rPr>
      </w:pPr>
    </w:p>
    <w:p w:rsidR="00CD2BA3" w:rsidRDefault="00CD2BA3" w:rsidP="00CD2BA3">
      <w:pPr>
        <w:spacing w:line="360" w:lineRule="auto"/>
        <w:rPr>
          <w:b/>
          <w:sz w:val="32"/>
          <w:szCs w:val="32"/>
        </w:rPr>
      </w:pPr>
    </w:p>
    <w:p w:rsidR="00CD2BA3" w:rsidRDefault="00CD2BA3" w:rsidP="00CD2BA3">
      <w:pPr>
        <w:spacing w:line="360" w:lineRule="auto"/>
        <w:rPr>
          <w:b/>
          <w:sz w:val="32"/>
          <w:szCs w:val="32"/>
        </w:rPr>
      </w:pPr>
    </w:p>
    <w:p w:rsidR="00CD2BA3" w:rsidRDefault="00CD2BA3" w:rsidP="00CD2BA3">
      <w:pPr>
        <w:spacing w:line="360" w:lineRule="auto"/>
        <w:rPr>
          <w:b/>
          <w:sz w:val="32"/>
          <w:szCs w:val="32"/>
        </w:rPr>
      </w:pPr>
    </w:p>
    <w:p w:rsidR="00CD2BA3" w:rsidRDefault="00CD2BA3" w:rsidP="00CD2BA3">
      <w:pPr>
        <w:spacing w:line="360" w:lineRule="auto"/>
        <w:rPr>
          <w:b/>
          <w:sz w:val="32"/>
          <w:szCs w:val="32"/>
        </w:rPr>
      </w:pPr>
    </w:p>
    <w:p w:rsidR="00CD2BA3" w:rsidRDefault="00CD2BA3" w:rsidP="00CD2BA3">
      <w:pPr>
        <w:spacing w:line="360" w:lineRule="auto"/>
        <w:rPr>
          <w:b/>
          <w:sz w:val="32"/>
          <w:szCs w:val="32"/>
        </w:rPr>
      </w:pPr>
    </w:p>
    <w:p w:rsidR="00CD2BA3" w:rsidRDefault="00CD2BA3" w:rsidP="00CD2BA3">
      <w:pPr>
        <w:spacing w:line="360" w:lineRule="auto"/>
        <w:rPr>
          <w:b/>
          <w:sz w:val="32"/>
          <w:szCs w:val="32"/>
        </w:rPr>
      </w:pPr>
    </w:p>
    <w:p w:rsidR="00CD2BA3" w:rsidRPr="008644D2" w:rsidRDefault="00CD2BA3" w:rsidP="00CD2BA3">
      <w:pPr>
        <w:spacing w:line="360" w:lineRule="auto"/>
        <w:rPr>
          <w:b/>
          <w:sz w:val="32"/>
          <w:szCs w:val="32"/>
        </w:rPr>
      </w:pPr>
      <w:r w:rsidRPr="008644D2">
        <w:rPr>
          <w:b/>
          <w:sz w:val="32"/>
          <w:szCs w:val="32"/>
        </w:rPr>
        <w:t>I</w:t>
      </w:r>
      <w:r>
        <w:rPr>
          <w:b/>
          <w:sz w:val="32"/>
          <w:szCs w:val="32"/>
        </w:rPr>
        <w:t xml:space="preserve">nter </w:t>
      </w:r>
      <w:smartTag w:uri="urn:schemas-microsoft-com:office:smarttags" w:element="place">
        <w:smartTag w:uri="urn:schemas-microsoft-com:office:smarttags" w:element="PlaceName">
          <w:r w:rsidRPr="008644D2">
            <w:rPr>
              <w:b/>
              <w:sz w:val="32"/>
              <w:szCs w:val="32"/>
            </w:rPr>
            <w:t>Q</w:t>
          </w:r>
          <w:r>
            <w:rPr>
              <w:b/>
              <w:sz w:val="32"/>
              <w:szCs w:val="32"/>
            </w:rPr>
            <w:t>uartile</w:t>
          </w:r>
        </w:smartTag>
        <w:r>
          <w:rPr>
            <w:b/>
            <w:sz w:val="32"/>
            <w:szCs w:val="32"/>
          </w:rPr>
          <w:t xml:space="preserve"> </w:t>
        </w:r>
        <w:smartTag w:uri="urn:schemas-microsoft-com:office:smarttags" w:element="PlaceType">
          <w:r w:rsidRPr="008644D2">
            <w:rPr>
              <w:b/>
              <w:sz w:val="32"/>
              <w:szCs w:val="32"/>
            </w:rPr>
            <w:t>R</w:t>
          </w:r>
          <w:r>
            <w:rPr>
              <w:b/>
              <w:sz w:val="32"/>
              <w:szCs w:val="32"/>
            </w:rPr>
            <w:t>ange</w:t>
          </w:r>
        </w:smartTag>
      </w:smartTag>
      <w:r>
        <w:rPr>
          <w:b/>
          <w:sz w:val="32"/>
          <w:szCs w:val="32"/>
        </w:rPr>
        <w:t xml:space="preserve"> in ROA of winners and losers:</w:t>
      </w:r>
    </w:p>
    <w:p w:rsidR="00CD2BA3" w:rsidRDefault="00CD2BA3" w:rsidP="00CD2BA3">
      <w:pPr>
        <w:spacing w:line="360" w:lineRule="auto"/>
      </w:pPr>
      <w:r>
        <w:t>Table shows the first quartile median 3</w:t>
      </w:r>
      <w:r w:rsidRPr="00DE7E0E">
        <w:rPr>
          <w:vertAlign w:val="superscript"/>
        </w:rPr>
        <w:t>rd</w:t>
      </w:r>
      <w:r>
        <w:t xml:space="preserve"> Quartile and inter quartile</w:t>
      </w:r>
      <w:r w:rsidR="00E0169E">
        <w:t xml:space="preserve"> range of the annual Average ROE</w:t>
      </w:r>
      <w:r>
        <w:t xml:space="preserve"> from 2001-10 for 72 companies. Over the whole data period of 10 Years the average inter qu</w:t>
      </w:r>
      <w:r w:rsidR="00E0169E">
        <w:t>artile range is 19</w:t>
      </w:r>
      <w:r>
        <w:t>.</w:t>
      </w:r>
      <w:r w:rsidR="00E0169E">
        <w:t xml:space="preserve">68 </w:t>
      </w:r>
      <w:r>
        <w:t>%, this shows tha</w:t>
      </w:r>
      <w:r w:rsidR="00082866">
        <w:t>t an investor could have earn 19.68</w:t>
      </w:r>
      <w:r>
        <w:t xml:space="preserve">% greater returns on </w:t>
      </w:r>
      <w:r w:rsidR="00082866">
        <w:t xml:space="preserve">equity </w:t>
      </w:r>
      <w:r>
        <w:t xml:space="preserve">than bottom quartile companies in a randomly chosen year from 2001-10. </w:t>
      </w:r>
    </w:p>
    <w:p w:rsidR="00CD2BA3" w:rsidRDefault="00CD2BA3" w:rsidP="00CD2BA3">
      <w:pPr>
        <w:spacing w:line="360" w:lineRule="auto"/>
      </w:pPr>
      <w:r>
        <w:t>Thus we can say th</w:t>
      </w:r>
      <w:r w:rsidR="00C57B76">
        <w:t>at the average spread in the ROE</w:t>
      </w:r>
      <w:r>
        <w:t xml:space="preserve"> of winners and losers during the whole data period was </w:t>
      </w:r>
      <w:r w:rsidR="002B0DBE">
        <w:t>19.68</w:t>
      </w:r>
      <w:r>
        <w:t>%.</w:t>
      </w:r>
    </w:p>
    <w:p w:rsidR="00CD2BA3" w:rsidRDefault="002B0DBE" w:rsidP="00CD2BA3">
      <w:pPr>
        <w:spacing w:line="360" w:lineRule="auto"/>
      </w:pPr>
      <w:r>
        <w:t>The figure of IQR in ROE</w:t>
      </w:r>
      <w:r w:rsidR="00CD2BA3">
        <w:t xml:space="preserve"> shows it high consis</w:t>
      </w:r>
      <w:r>
        <w:t xml:space="preserve">tency and less variation and most of </w:t>
      </w:r>
      <w:r w:rsidR="00CD2BA3">
        <w:t>t</w:t>
      </w:r>
      <w:r>
        <w:t>he time it is in the range of 17% and 20</w:t>
      </w:r>
      <w:r w:rsidR="00CD2BA3">
        <w:t>%.</w:t>
      </w:r>
    </w:p>
    <w:p w:rsidR="00CD2BA3" w:rsidRDefault="00CD2BA3" w:rsidP="00CD2BA3">
      <w:pPr>
        <w:spacing w:line="360" w:lineRule="auto"/>
      </w:pPr>
    </w:p>
    <w:p w:rsidR="00D2496E" w:rsidRDefault="00E24F4B" w:rsidP="003E2086">
      <w:pPr>
        <w:spacing w:before="100" w:beforeAutospacing="1" w:after="100" w:afterAutospacing="1" w:line="360" w:lineRule="auto"/>
        <w:rPr>
          <w:b/>
          <w:sz w:val="28"/>
          <w:szCs w:val="28"/>
        </w:rPr>
      </w:pPr>
      <w:r>
        <w:rPr>
          <w:b/>
          <w:sz w:val="28"/>
          <w:szCs w:val="28"/>
        </w:rPr>
        <w:t xml:space="preserve">Table </w:t>
      </w:r>
      <w:r w:rsidR="00CD2BA3">
        <w:rPr>
          <w:b/>
          <w:sz w:val="28"/>
          <w:szCs w:val="28"/>
        </w:rPr>
        <w:t>6.3</w:t>
      </w:r>
    </w:p>
    <w:tbl>
      <w:tblPr>
        <w:tblW w:w="9027" w:type="dxa"/>
        <w:tblInd w:w="89" w:type="dxa"/>
        <w:tblLook w:val="0000" w:firstRow="0" w:lastRow="0" w:firstColumn="0" w:lastColumn="0" w:noHBand="0" w:noVBand="0"/>
      </w:tblPr>
      <w:tblGrid>
        <w:gridCol w:w="1353"/>
        <w:gridCol w:w="1833"/>
        <w:gridCol w:w="1238"/>
        <w:gridCol w:w="1517"/>
        <w:gridCol w:w="3086"/>
      </w:tblGrid>
      <w:tr w:rsidR="009D4E38">
        <w:trPr>
          <w:trHeight w:val="283"/>
        </w:trPr>
        <w:tc>
          <w:tcPr>
            <w:tcW w:w="4424" w:type="dxa"/>
            <w:gridSpan w:val="3"/>
            <w:tcBorders>
              <w:top w:val="nil"/>
              <w:left w:val="nil"/>
              <w:bottom w:val="nil"/>
              <w:right w:val="nil"/>
            </w:tcBorders>
            <w:shd w:val="clear" w:color="auto" w:fill="auto"/>
            <w:noWrap/>
            <w:vAlign w:val="bottom"/>
          </w:tcPr>
          <w:p w:rsidR="009D4E38" w:rsidRDefault="009D4E38" w:rsidP="003E2086">
            <w:pPr>
              <w:spacing w:line="360" w:lineRule="auto"/>
              <w:rPr>
                <w:rFonts w:ascii="Arial" w:hAnsi="Arial" w:cs="Arial"/>
                <w:b/>
                <w:bCs/>
                <w:sz w:val="20"/>
                <w:szCs w:val="20"/>
              </w:rPr>
            </w:pPr>
            <w:r>
              <w:rPr>
                <w:rFonts w:ascii="Arial" w:hAnsi="Arial" w:cs="Arial"/>
                <w:b/>
                <w:bCs/>
                <w:sz w:val="20"/>
                <w:szCs w:val="20"/>
              </w:rPr>
              <w:t>Cross Sectional Volatility in ROE</w:t>
            </w:r>
          </w:p>
        </w:tc>
        <w:tc>
          <w:tcPr>
            <w:tcW w:w="1517" w:type="dxa"/>
            <w:tcBorders>
              <w:top w:val="nil"/>
              <w:left w:val="nil"/>
              <w:bottom w:val="nil"/>
              <w:right w:val="nil"/>
            </w:tcBorders>
            <w:shd w:val="clear" w:color="auto" w:fill="auto"/>
            <w:noWrap/>
            <w:vAlign w:val="bottom"/>
          </w:tcPr>
          <w:p w:rsidR="009D4E38" w:rsidRDefault="009D4E38" w:rsidP="003E2086">
            <w:pPr>
              <w:spacing w:line="360" w:lineRule="auto"/>
              <w:rPr>
                <w:rFonts w:ascii="Arial" w:hAnsi="Arial" w:cs="Arial"/>
                <w:b/>
                <w:bCs/>
                <w:sz w:val="20"/>
                <w:szCs w:val="20"/>
              </w:rPr>
            </w:pPr>
          </w:p>
        </w:tc>
        <w:tc>
          <w:tcPr>
            <w:tcW w:w="3086" w:type="dxa"/>
            <w:tcBorders>
              <w:top w:val="nil"/>
              <w:left w:val="nil"/>
              <w:bottom w:val="nil"/>
              <w:right w:val="nil"/>
            </w:tcBorders>
            <w:shd w:val="clear" w:color="auto" w:fill="auto"/>
            <w:noWrap/>
            <w:vAlign w:val="bottom"/>
          </w:tcPr>
          <w:p w:rsidR="009D4E38" w:rsidRDefault="009D4E38" w:rsidP="003E2086">
            <w:pPr>
              <w:spacing w:line="360" w:lineRule="auto"/>
              <w:rPr>
                <w:rFonts w:ascii="Arial" w:hAnsi="Arial" w:cs="Arial"/>
                <w:b/>
                <w:bCs/>
                <w:sz w:val="20"/>
                <w:szCs w:val="20"/>
              </w:rPr>
            </w:pPr>
          </w:p>
        </w:tc>
      </w:tr>
      <w:tr w:rsidR="009D4E38">
        <w:trPr>
          <w:trHeight w:val="283"/>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Years</w:t>
            </w:r>
          </w:p>
        </w:tc>
        <w:tc>
          <w:tcPr>
            <w:tcW w:w="1833" w:type="dxa"/>
            <w:tcBorders>
              <w:top w:val="single" w:sz="4" w:space="0" w:color="auto"/>
              <w:left w:val="nil"/>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 xml:space="preserve">1st Quartile </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Median</w:t>
            </w:r>
          </w:p>
        </w:tc>
        <w:tc>
          <w:tcPr>
            <w:tcW w:w="1517" w:type="dxa"/>
            <w:tcBorders>
              <w:top w:val="single" w:sz="4" w:space="0" w:color="auto"/>
              <w:left w:val="nil"/>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3rd Quartile</w:t>
            </w:r>
          </w:p>
        </w:tc>
        <w:tc>
          <w:tcPr>
            <w:tcW w:w="3086" w:type="dxa"/>
            <w:tcBorders>
              <w:top w:val="single" w:sz="4" w:space="0" w:color="auto"/>
              <w:left w:val="nil"/>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 xml:space="preserve">Inter </w:t>
            </w:r>
            <w:smartTag w:uri="urn:schemas-microsoft-com:office:smarttags" w:element="place">
              <w:smartTag w:uri="urn:schemas-microsoft-com:office:smarttags" w:element="PlaceName">
                <w:r>
                  <w:rPr>
                    <w:rFonts w:ascii="Arial" w:hAnsi="Arial" w:cs="Arial"/>
                    <w:sz w:val="20"/>
                    <w:szCs w:val="20"/>
                  </w:rPr>
                  <w:t>Quartile</w:t>
                </w:r>
              </w:smartTag>
              <w:r>
                <w:rPr>
                  <w:rFonts w:ascii="Arial" w:hAnsi="Arial" w:cs="Arial"/>
                  <w:sz w:val="20"/>
                  <w:szCs w:val="20"/>
                </w:rPr>
                <w:t xml:space="preserve"> </w:t>
              </w:r>
              <w:smartTag w:uri="urn:schemas-microsoft-com:office:smarttags" w:element="PlaceType">
                <w:r>
                  <w:rPr>
                    <w:rFonts w:ascii="Arial" w:hAnsi="Arial" w:cs="Arial"/>
                    <w:sz w:val="20"/>
                    <w:szCs w:val="20"/>
                  </w:rPr>
                  <w:t>Range</w:t>
                </w:r>
              </w:smartTag>
            </w:smartTag>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2001</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7.71%</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17.91%</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27.42%</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19.71%</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2002</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14.68%</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22.46%</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30.67%</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15.99%</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2003</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13.23%</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23.81%</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34.40%</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21.17%</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2004</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17.17%</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24.57%</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35.34%</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18.17%</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2005</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16.71%</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26.58%</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34.53%</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17.82%</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2006</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16.14%</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26.32%</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36.15%</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20.01%</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2007</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13.22%</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22.28%</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32.90%</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19.68%</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2008</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3.27%</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14.48%</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26.95%</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23.68%</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2009</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2.02%</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11.66%</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21.26%</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19.24%</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2010</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1.72%</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15.71%</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23%</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21.28%</w:t>
            </w:r>
          </w:p>
        </w:tc>
      </w:tr>
      <w:tr w:rsidR="009D4E38">
        <w:trPr>
          <w:trHeight w:val="283"/>
        </w:trPr>
        <w:tc>
          <w:tcPr>
            <w:tcW w:w="1353" w:type="dxa"/>
            <w:tcBorders>
              <w:top w:val="nil"/>
              <w:left w:val="single" w:sz="4" w:space="0" w:color="auto"/>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Average</w:t>
            </w:r>
          </w:p>
        </w:tc>
        <w:tc>
          <w:tcPr>
            <w:tcW w:w="1833"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 </w:t>
            </w:r>
          </w:p>
        </w:tc>
        <w:tc>
          <w:tcPr>
            <w:tcW w:w="1238"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 </w:t>
            </w:r>
          </w:p>
        </w:tc>
        <w:tc>
          <w:tcPr>
            <w:tcW w:w="1517"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rPr>
                <w:rFonts w:ascii="Arial" w:hAnsi="Arial" w:cs="Arial"/>
                <w:sz w:val="20"/>
                <w:szCs w:val="20"/>
              </w:rPr>
            </w:pPr>
            <w:r>
              <w:rPr>
                <w:rFonts w:ascii="Arial" w:hAnsi="Arial" w:cs="Arial"/>
                <w:sz w:val="20"/>
                <w:szCs w:val="20"/>
              </w:rPr>
              <w:t> </w:t>
            </w:r>
          </w:p>
        </w:tc>
        <w:tc>
          <w:tcPr>
            <w:tcW w:w="3086" w:type="dxa"/>
            <w:tcBorders>
              <w:top w:val="nil"/>
              <w:left w:val="nil"/>
              <w:bottom w:val="single" w:sz="4" w:space="0" w:color="auto"/>
              <w:right w:val="single" w:sz="4" w:space="0" w:color="auto"/>
            </w:tcBorders>
            <w:shd w:val="clear" w:color="auto" w:fill="auto"/>
            <w:noWrap/>
            <w:vAlign w:val="bottom"/>
          </w:tcPr>
          <w:p w:rsidR="009D4E38" w:rsidRDefault="009D4E38" w:rsidP="003E2086">
            <w:pPr>
              <w:spacing w:line="360" w:lineRule="auto"/>
              <w:jc w:val="right"/>
              <w:rPr>
                <w:rFonts w:ascii="Arial" w:hAnsi="Arial" w:cs="Arial"/>
                <w:sz w:val="20"/>
                <w:szCs w:val="20"/>
              </w:rPr>
            </w:pPr>
            <w:r>
              <w:rPr>
                <w:rFonts w:ascii="Arial" w:hAnsi="Arial" w:cs="Arial"/>
                <w:sz w:val="20"/>
                <w:szCs w:val="20"/>
              </w:rPr>
              <w:t>19.68%</w:t>
            </w:r>
          </w:p>
        </w:tc>
      </w:tr>
    </w:tbl>
    <w:p w:rsidR="009E1CB6" w:rsidRDefault="009E1CB6" w:rsidP="009E1CB6">
      <w:pPr>
        <w:spacing w:line="360" w:lineRule="auto"/>
      </w:pPr>
    </w:p>
    <w:p w:rsidR="009E1CB6" w:rsidRDefault="009E1CB6" w:rsidP="009E1CB6">
      <w:pPr>
        <w:spacing w:line="360" w:lineRule="auto"/>
      </w:pPr>
    </w:p>
    <w:p w:rsidR="009E1CB6" w:rsidRDefault="009E1CB6" w:rsidP="009E1CB6">
      <w:pPr>
        <w:spacing w:line="360" w:lineRule="auto"/>
      </w:pPr>
    </w:p>
    <w:p w:rsidR="009E1CB6" w:rsidRDefault="009E1CB6" w:rsidP="009E1CB6">
      <w:pPr>
        <w:spacing w:line="360" w:lineRule="auto"/>
      </w:pPr>
    </w:p>
    <w:p w:rsidR="009E1CB6" w:rsidRDefault="009E1CB6" w:rsidP="009E1CB6">
      <w:pPr>
        <w:spacing w:line="360" w:lineRule="auto"/>
      </w:pPr>
    </w:p>
    <w:p w:rsidR="009E1CB6" w:rsidRDefault="009E1CB6" w:rsidP="009E1CB6">
      <w:pPr>
        <w:spacing w:line="360" w:lineRule="auto"/>
      </w:pPr>
    </w:p>
    <w:p w:rsidR="009E1CB6" w:rsidRDefault="009E1CB6" w:rsidP="009E1CB6">
      <w:pPr>
        <w:spacing w:line="360" w:lineRule="auto"/>
      </w:pPr>
    </w:p>
    <w:p w:rsidR="009E1CB6" w:rsidRDefault="009E1CB6" w:rsidP="009E1CB6">
      <w:pPr>
        <w:spacing w:line="360" w:lineRule="auto"/>
      </w:pPr>
      <w:r>
        <w:t>The graphical representation of the spread between the average ROE of winners and losers is given below.</w:t>
      </w:r>
    </w:p>
    <w:p w:rsidR="003E53E7" w:rsidRDefault="003E53E7" w:rsidP="003E2086">
      <w:pPr>
        <w:spacing w:before="100" w:beforeAutospacing="1" w:after="100" w:afterAutospacing="1" w:line="360" w:lineRule="auto"/>
        <w:rPr>
          <w:b/>
          <w:sz w:val="28"/>
          <w:szCs w:val="28"/>
        </w:rPr>
      </w:pPr>
    </w:p>
    <w:p w:rsidR="009D4E38" w:rsidRPr="009D4E38" w:rsidRDefault="002B1411" w:rsidP="003E2086">
      <w:pPr>
        <w:spacing w:before="100" w:beforeAutospacing="1" w:after="100" w:afterAutospacing="1" w:line="360" w:lineRule="auto"/>
        <w:rPr>
          <w:b/>
          <w:sz w:val="28"/>
          <w:szCs w:val="28"/>
        </w:rPr>
      </w:pPr>
      <w:r w:rsidRPr="009D4E38">
        <w:rPr>
          <w:noProof/>
        </w:rPr>
        <w:drawing>
          <wp:inline distT="0" distB="0" distL="0" distR="0">
            <wp:extent cx="5934075" cy="4086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C568B4" w:rsidRDefault="00C568B4" w:rsidP="003E2086">
      <w:pPr>
        <w:spacing w:before="100" w:beforeAutospacing="1" w:after="100" w:afterAutospacing="1" w:line="360" w:lineRule="auto"/>
        <w:rPr>
          <w:b/>
          <w:sz w:val="32"/>
          <w:szCs w:val="28"/>
        </w:rPr>
      </w:pPr>
    </w:p>
    <w:p w:rsidR="00C568B4" w:rsidRDefault="00C568B4" w:rsidP="003E2086">
      <w:pPr>
        <w:spacing w:before="100" w:beforeAutospacing="1" w:after="100" w:afterAutospacing="1" w:line="360" w:lineRule="auto"/>
        <w:rPr>
          <w:b/>
          <w:sz w:val="32"/>
          <w:szCs w:val="28"/>
        </w:rPr>
      </w:pPr>
    </w:p>
    <w:p w:rsidR="00C568B4" w:rsidRDefault="00C568B4" w:rsidP="003E2086">
      <w:pPr>
        <w:spacing w:before="100" w:beforeAutospacing="1" w:after="100" w:afterAutospacing="1" w:line="360" w:lineRule="auto"/>
        <w:rPr>
          <w:b/>
          <w:sz w:val="32"/>
          <w:szCs w:val="28"/>
        </w:rPr>
      </w:pPr>
    </w:p>
    <w:p w:rsidR="00C568B4" w:rsidRDefault="00C568B4" w:rsidP="003E2086">
      <w:pPr>
        <w:spacing w:before="100" w:beforeAutospacing="1" w:after="100" w:afterAutospacing="1" w:line="360" w:lineRule="auto"/>
        <w:rPr>
          <w:b/>
          <w:sz w:val="32"/>
          <w:szCs w:val="28"/>
        </w:rPr>
      </w:pPr>
    </w:p>
    <w:p w:rsidR="00C568B4" w:rsidRDefault="00C568B4" w:rsidP="003E2086">
      <w:pPr>
        <w:spacing w:before="100" w:beforeAutospacing="1" w:after="100" w:afterAutospacing="1" w:line="360" w:lineRule="auto"/>
        <w:rPr>
          <w:b/>
          <w:sz w:val="32"/>
          <w:szCs w:val="28"/>
        </w:rPr>
      </w:pPr>
    </w:p>
    <w:p w:rsidR="003E53E7" w:rsidRPr="00700B3D" w:rsidRDefault="00700B3D" w:rsidP="003E2086">
      <w:pPr>
        <w:spacing w:before="100" w:beforeAutospacing="1" w:after="100" w:afterAutospacing="1" w:line="360" w:lineRule="auto"/>
        <w:rPr>
          <w:b/>
          <w:sz w:val="32"/>
          <w:szCs w:val="28"/>
        </w:rPr>
      </w:pPr>
      <w:r>
        <w:rPr>
          <w:b/>
          <w:sz w:val="32"/>
          <w:szCs w:val="28"/>
        </w:rPr>
        <w:lastRenderedPageBreak/>
        <w:t>List of Winners w.r.t. ROE form 2001-10</w:t>
      </w:r>
    </w:p>
    <w:tbl>
      <w:tblPr>
        <w:tblW w:w="10651" w:type="dxa"/>
        <w:tblInd w:w="89" w:type="dxa"/>
        <w:tblLook w:val="0000" w:firstRow="0" w:lastRow="0" w:firstColumn="0" w:lastColumn="0" w:noHBand="0" w:noVBand="0"/>
      </w:tblPr>
      <w:tblGrid>
        <w:gridCol w:w="2092"/>
        <w:gridCol w:w="2094"/>
        <w:gridCol w:w="2163"/>
        <w:gridCol w:w="2139"/>
        <w:gridCol w:w="2163"/>
      </w:tblGrid>
      <w:tr w:rsidR="00700B3D">
        <w:trPr>
          <w:trHeight w:val="333"/>
        </w:trPr>
        <w:tc>
          <w:tcPr>
            <w:tcW w:w="4186" w:type="dxa"/>
            <w:gridSpan w:val="2"/>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b/>
                <w:bCs/>
              </w:rPr>
            </w:pPr>
            <w:r>
              <w:rPr>
                <w:rFonts w:ascii="Arial" w:hAnsi="Arial" w:cs="Arial"/>
                <w:b/>
                <w:bCs/>
              </w:rPr>
              <w:t xml:space="preserve">Winners with respect to ROE </w:t>
            </w:r>
          </w:p>
        </w:tc>
        <w:tc>
          <w:tcPr>
            <w:tcW w:w="2163"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20"/>
                <w:szCs w:val="20"/>
              </w:rPr>
            </w:pP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20"/>
                <w:szCs w:val="20"/>
              </w:rPr>
            </w:pPr>
          </w:p>
        </w:tc>
        <w:tc>
          <w:tcPr>
            <w:tcW w:w="2163"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20"/>
                <w:szCs w:val="20"/>
              </w:rPr>
            </w:pPr>
          </w:p>
        </w:tc>
      </w:tr>
      <w:tr w:rsidR="00700B3D">
        <w:trPr>
          <w:trHeight w:val="270"/>
        </w:trPr>
        <w:tc>
          <w:tcPr>
            <w:tcW w:w="2092" w:type="dxa"/>
            <w:tcBorders>
              <w:top w:val="single" w:sz="4" w:space="0" w:color="auto"/>
              <w:left w:val="single" w:sz="4" w:space="0" w:color="auto"/>
              <w:bottom w:val="single" w:sz="4" w:space="0" w:color="auto"/>
              <w:right w:val="nil"/>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2001</w:t>
            </w:r>
          </w:p>
        </w:tc>
        <w:tc>
          <w:tcPr>
            <w:tcW w:w="2093" w:type="dxa"/>
            <w:tcBorders>
              <w:top w:val="single" w:sz="4" w:space="0" w:color="auto"/>
              <w:left w:val="nil"/>
              <w:bottom w:val="single" w:sz="4" w:space="0" w:color="auto"/>
              <w:right w:val="nil"/>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2002</w:t>
            </w:r>
          </w:p>
        </w:tc>
        <w:tc>
          <w:tcPr>
            <w:tcW w:w="2163" w:type="dxa"/>
            <w:tcBorders>
              <w:top w:val="single" w:sz="4" w:space="0" w:color="auto"/>
              <w:left w:val="nil"/>
              <w:bottom w:val="single" w:sz="4" w:space="0" w:color="auto"/>
              <w:right w:val="nil"/>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2003</w:t>
            </w:r>
          </w:p>
        </w:tc>
        <w:tc>
          <w:tcPr>
            <w:tcW w:w="2139" w:type="dxa"/>
            <w:tcBorders>
              <w:top w:val="single" w:sz="4" w:space="0" w:color="auto"/>
              <w:left w:val="nil"/>
              <w:bottom w:val="single" w:sz="4" w:space="0" w:color="auto"/>
              <w:right w:val="nil"/>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2004</w:t>
            </w:r>
          </w:p>
        </w:tc>
        <w:tc>
          <w:tcPr>
            <w:tcW w:w="2163" w:type="dxa"/>
            <w:tcBorders>
              <w:top w:val="single" w:sz="4" w:space="0" w:color="auto"/>
              <w:left w:val="nil"/>
              <w:bottom w:val="single" w:sz="4" w:space="0" w:color="auto"/>
              <w:right w:val="single" w:sz="4" w:space="0" w:color="auto"/>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2005</w:t>
            </w:r>
          </w:p>
        </w:tc>
      </w:tr>
      <w:tr w:rsidR="00700B3D">
        <w:trPr>
          <w:trHeight w:val="270"/>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Elektron   </w:t>
            </w:r>
          </w:p>
        </w:tc>
        <w:tc>
          <w:tcPr>
            <w:tcW w:w="2093" w:type="dxa"/>
            <w:tcBorders>
              <w:top w:val="single" w:sz="4" w:space="0" w:color="auto"/>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PIA</w:t>
            </w:r>
          </w:p>
        </w:tc>
        <w:tc>
          <w:tcPr>
            <w:tcW w:w="2163" w:type="dxa"/>
            <w:tcBorders>
              <w:top w:val="single" w:sz="4" w:space="0" w:color="auto"/>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139" w:type="dxa"/>
            <w:tcBorders>
              <w:top w:val="single" w:sz="4" w:space="0" w:color="auto"/>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Gharibwal Cement </w:t>
            </w:r>
          </w:p>
        </w:tc>
        <w:tc>
          <w:tcPr>
            <w:tcW w:w="2163" w:type="dxa"/>
            <w:tcBorders>
              <w:top w:val="single" w:sz="4" w:space="0" w:color="auto"/>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Telephone Cables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Refinery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PNSC</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Javedan Cement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Telephone Cables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Refinery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Oilfields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Indus Motor Co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Adamjee Insurance Co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Elektron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Al-Ghazi Tractors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Javedan Cement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Arif Habib Securities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Al-Ghazi Tractors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Attock Refinery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Thal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New Jubilee Insurance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The Hub Power Co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PNSC</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General Insurance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Security Paper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Clariant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Clariant Pak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General Insurance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Attock Refinery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Clariant Pak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ICI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Mari Gas Co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Refinery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PNSC</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Lakson Tobacco Co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Atlas Honda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Colgate - Palmoliv</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Clariant Pak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Suzuki Motor Co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Indus Motor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Lakson Tobacco Co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Ghani Glass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Oilfields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Thal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Fauji Fertilizer Co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Millat Tractors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Security Paper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Oilfields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Cables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New Jubilee Insurance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National Refinery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Oilfields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City">
              <w:smartTag w:uri="urn:schemas-microsoft-com:office:smarttags" w:element="place">
                <w:r>
                  <w:rPr>
                    <w:rFonts w:ascii="Arial" w:hAnsi="Arial" w:cs="Arial"/>
                    <w:sz w:val="16"/>
                    <w:szCs w:val="16"/>
                  </w:rPr>
                  <w:t>Cambridge</w:t>
                </w:r>
              </w:smartTag>
            </w:smartTag>
            <w:r>
              <w:rPr>
                <w:rFonts w:ascii="Arial" w:hAnsi="Arial" w:cs="Arial"/>
                <w:sz w:val="16"/>
                <w:szCs w:val="16"/>
              </w:rPr>
              <w:t xml:space="preserve">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Atlas Honda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Colgate - Palmolive</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Clariant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MCB Bank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Colgate - Palmolive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IGI Insurance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IGI Insurance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Al-Ghazi Tractors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Life Assurance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Refinery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Suzuki Motor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National Refinery </w:t>
            </w:r>
          </w:p>
        </w:tc>
        <w:tc>
          <w:tcPr>
            <w:tcW w:w="2139"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Atlas Honda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Tobacco Co </w:t>
            </w:r>
          </w:p>
        </w:tc>
      </w:tr>
      <w:tr w:rsidR="00700B3D">
        <w:trPr>
          <w:trHeight w:val="270"/>
        </w:trPr>
        <w:tc>
          <w:tcPr>
            <w:tcW w:w="20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2006</w:t>
            </w:r>
          </w:p>
        </w:tc>
        <w:tc>
          <w:tcPr>
            <w:tcW w:w="209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2007</w:t>
            </w:r>
          </w:p>
        </w:tc>
        <w:tc>
          <w:tcPr>
            <w:tcW w:w="216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2008</w:t>
            </w:r>
          </w:p>
        </w:tc>
        <w:tc>
          <w:tcPr>
            <w:tcW w:w="21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2009</w:t>
            </w:r>
          </w:p>
        </w:tc>
        <w:tc>
          <w:tcPr>
            <w:tcW w:w="216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00B3D" w:rsidRDefault="00700B3D" w:rsidP="003E2086">
            <w:pPr>
              <w:spacing w:line="360" w:lineRule="auto"/>
              <w:jc w:val="right"/>
              <w:rPr>
                <w:rFonts w:ascii="Arial" w:hAnsi="Arial" w:cs="Arial"/>
                <w:sz w:val="20"/>
                <w:szCs w:val="20"/>
              </w:rPr>
            </w:pPr>
            <w:r>
              <w:rPr>
                <w:rFonts w:ascii="Arial" w:hAnsi="Arial" w:cs="Arial"/>
                <w:sz w:val="20"/>
                <w:szCs w:val="20"/>
              </w:rPr>
              <w:t>2010</w:t>
            </w:r>
          </w:p>
        </w:tc>
      </w:tr>
      <w:tr w:rsidR="00700B3D">
        <w:trPr>
          <w:trHeight w:val="270"/>
        </w:trPr>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093" w:type="dxa"/>
            <w:tcBorders>
              <w:top w:val="single" w:sz="4" w:space="0" w:color="auto"/>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General Insurance </w:t>
            </w:r>
          </w:p>
        </w:tc>
        <w:tc>
          <w:tcPr>
            <w:tcW w:w="2163" w:type="dxa"/>
            <w:tcBorders>
              <w:top w:val="single" w:sz="4" w:space="0" w:color="auto"/>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139" w:type="dxa"/>
            <w:tcBorders>
              <w:top w:val="single" w:sz="4" w:space="0" w:color="auto"/>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w:t>
            </w:r>
            <w:smartTag w:uri="urn:schemas-microsoft-com:office:smarttags" w:element="country-region">
              <w:smartTag w:uri="urn:schemas-microsoft-com:office:smarttags" w:element="place">
                <w:r>
                  <w:rPr>
                    <w:rFonts w:ascii="Arial" w:hAnsi="Arial" w:cs="Arial"/>
                    <w:sz w:val="16"/>
                    <w:szCs w:val="16"/>
                  </w:rPr>
                  <w:t>Pakistan</w:t>
                </w:r>
              </w:smartTag>
            </w:smartTag>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IGI Insurance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Reinsurance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Tobacco Co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Tobacco Co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Javedan Cement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Attock Refinery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Fauji Fertilizer Co</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Unilever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Jahangir Siddiqui &amp; Co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Pakistan Tobacco Co</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Tobacco Co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Tobacco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Life Assurance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Millat Tractors Limited</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Packages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Adamjee Insurance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State Oil Co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Millat Tractors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Rafhan Maize Products</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General Insurance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EFU Life Assurance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Indus Motor Co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Dawood Hercules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Mari Gas Co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Al-Ghazi Tractors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Clariant Pakistan Limited</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Oilfields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Siemens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Shell Pak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Shell Pak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Colgate - Palmolive</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Services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Nestle Pak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Bata Pak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Al-Ghazi Tractors</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Adamjee Insurance</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Fauji Fertilizer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National Refinery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Colgate - Palmolive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Sui Southern Gas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New Jubilee Insurance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Bata Pak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Clariant Pak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Shell Pakistan Limited</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Arif Habib Securities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Oilfields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Mari Gas Co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Int. Industries Limited</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Colgate - Palmolive</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Colgate - Palmolive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Bata Pak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Abbott Lab Pak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State Oil Co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Cables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Indus Motor Co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Colgate - Palmolive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MCB Bank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Bata Pakistan Limited</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Fauji Cement Co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MCB Bank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Pak Refinery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New Jubilee Insurance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MCB Bank Limited</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National Refinery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MCB Bank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Bank AL Habib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Indus Motor Company </w:t>
            </w:r>
          </w:p>
        </w:tc>
      </w:tr>
      <w:tr w:rsidR="00700B3D">
        <w:trPr>
          <w:trHeight w:val="270"/>
        </w:trPr>
        <w:tc>
          <w:tcPr>
            <w:tcW w:w="2092"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09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National Refinery </w:t>
            </w:r>
          </w:p>
        </w:tc>
        <w:tc>
          <w:tcPr>
            <w:tcW w:w="2163" w:type="dxa"/>
            <w:tcBorders>
              <w:top w:val="nil"/>
              <w:left w:val="nil"/>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2139" w:type="dxa"/>
            <w:tcBorders>
              <w:top w:val="nil"/>
              <w:left w:val="nil"/>
              <w:bottom w:val="single" w:sz="4" w:space="0" w:color="auto"/>
              <w:right w:val="nil"/>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Adamjee Insurance </w:t>
            </w:r>
          </w:p>
        </w:tc>
        <w:tc>
          <w:tcPr>
            <w:tcW w:w="2163" w:type="dxa"/>
            <w:tcBorders>
              <w:top w:val="nil"/>
              <w:left w:val="single" w:sz="4" w:space="0" w:color="auto"/>
              <w:bottom w:val="single" w:sz="4" w:space="0" w:color="auto"/>
              <w:right w:val="single" w:sz="4" w:space="0" w:color="auto"/>
            </w:tcBorders>
            <w:shd w:val="clear" w:color="auto" w:fill="auto"/>
            <w:noWrap/>
            <w:vAlign w:val="bottom"/>
          </w:tcPr>
          <w:p w:rsidR="00700B3D" w:rsidRDefault="00700B3D" w:rsidP="003E2086">
            <w:pPr>
              <w:spacing w:line="360" w:lineRule="auto"/>
              <w:rPr>
                <w:rFonts w:ascii="Arial" w:hAnsi="Arial" w:cs="Arial"/>
                <w:sz w:val="16"/>
                <w:szCs w:val="16"/>
              </w:rPr>
            </w:pPr>
            <w:r>
              <w:rPr>
                <w:rFonts w:ascii="Arial" w:hAnsi="Arial" w:cs="Arial"/>
                <w:sz w:val="16"/>
                <w:szCs w:val="16"/>
              </w:rPr>
              <w:t xml:space="preserve">Abbott Lab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r>
    </w:tbl>
    <w:p w:rsidR="003E53E7" w:rsidRDefault="003E53E7" w:rsidP="003E2086">
      <w:pPr>
        <w:spacing w:before="100" w:beforeAutospacing="1" w:after="100" w:afterAutospacing="1" w:line="360" w:lineRule="auto"/>
        <w:rPr>
          <w:b/>
          <w:sz w:val="28"/>
          <w:szCs w:val="28"/>
        </w:rPr>
      </w:pPr>
    </w:p>
    <w:p w:rsidR="005813C4" w:rsidRPr="00E844CD" w:rsidRDefault="005813C4" w:rsidP="005813C4">
      <w:pPr>
        <w:spacing w:before="100" w:beforeAutospacing="1" w:after="100" w:afterAutospacing="1" w:line="360" w:lineRule="auto"/>
      </w:pPr>
      <w:r w:rsidRPr="00B22F7F">
        <w:lastRenderedPageBreak/>
        <w:t xml:space="preserve">The following table </w:t>
      </w:r>
      <w:r w:rsidR="00D52C5F">
        <w:t>6.4</w:t>
      </w:r>
      <w:r>
        <w:t xml:space="preserve"> </w:t>
      </w:r>
      <w:r w:rsidRPr="00B22F7F">
        <w:t xml:space="preserve">shows the consistency in the </w:t>
      </w:r>
      <w:r w:rsidR="00D52C5F">
        <w:t>ROE</w:t>
      </w:r>
      <w:r>
        <w:t xml:space="preserve"> </w:t>
      </w:r>
      <w:r w:rsidRPr="00B22F7F">
        <w:t>of winners of 2001</w:t>
      </w:r>
      <w:r>
        <w:t>. For developing this table we took</w:t>
      </w:r>
      <w:r w:rsidR="00F67466">
        <w:t xml:space="preserve"> the winners with respect to ROE</w:t>
      </w:r>
      <w:r>
        <w:t xml:space="preserve"> in 2001 and checked its repetition as winner in the subsequent years  </w:t>
      </w:r>
    </w:p>
    <w:p w:rsidR="002034DD" w:rsidRDefault="002034DD" w:rsidP="003E2086">
      <w:pPr>
        <w:spacing w:before="100" w:beforeAutospacing="1" w:after="100" w:afterAutospacing="1" w:line="360" w:lineRule="auto"/>
        <w:rPr>
          <w:b/>
          <w:sz w:val="28"/>
          <w:szCs w:val="28"/>
        </w:rPr>
      </w:pPr>
    </w:p>
    <w:p w:rsidR="003E53E7" w:rsidRDefault="002034DD" w:rsidP="003E2086">
      <w:pPr>
        <w:spacing w:before="100" w:beforeAutospacing="1" w:after="100" w:afterAutospacing="1" w:line="360" w:lineRule="auto"/>
        <w:rPr>
          <w:b/>
          <w:sz w:val="28"/>
          <w:szCs w:val="28"/>
        </w:rPr>
      </w:pPr>
      <w:r>
        <w:rPr>
          <w:b/>
          <w:sz w:val="28"/>
          <w:szCs w:val="28"/>
        </w:rPr>
        <w:t>TABLES</w:t>
      </w:r>
      <w:r w:rsidR="006E2226">
        <w:rPr>
          <w:b/>
          <w:sz w:val="28"/>
          <w:szCs w:val="28"/>
        </w:rPr>
        <w:t xml:space="preserve"> 6.4</w:t>
      </w:r>
    </w:p>
    <w:tbl>
      <w:tblPr>
        <w:tblW w:w="9564" w:type="dxa"/>
        <w:tblInd w:w="103" w:type="dxa"/>
        <w:tblLook w:val="0000" w:firstRow="0" w:lastRow="0" w:firstColumn="0" w:lastColumn="0" w:noHBand="0" w:noVBand="0"/>
      </w:tblPr>
      <w:tblGrid>
        <w:gridCol w:w="3361"/>
        <w:gridCol w:w="1050"/>
        <w:gridCol w:w="1760"/>
        <w:gridCol w:w="1633"/>
        <w:gridCol w:w="1760"/>
      </w:tblGrid>
      <w:tr w:rsidR="002034DD">
        <w:trPr>
          <w:trHeight w:val="86"/>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Winners Consistency  in ROE</w:t>
            </w:r>
          </w:p>
        </w:tc>
        <w:tc>
          <w:tcPr>
            <w:tcW w:w="1050" w:type="dxa"/>
            <w:tcBorders>
              <w:left w:val="single" w:sz="4" w:space="0" w:color="auto"/>
              <w:bottom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 </w:t>
            </w:r>
          </w:p>
        </w:tc>
        <w:tc>
          <w:tcPr>
            <w:tcW w:w="1760" w:type="dxa"/>
            <w:tcBorders>
              <w:bottom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 </w:t>
            </w:r>
          </w:p>
        </w:tc>
        <w:tc>
          <w:tcPr>
            <w:tcW w:w="1633" w:type="dxa"/>
            <w:tcBorders>
              <w:bottom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 </w:t>
            </w:r>
          </w:p>
        </w:tc>
        <w:tc>
          <w:tcPr>
            <w:tcW w:w="1760" w:type="dxa"/>
            <w:tcBorders>
              <w:bottom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 </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Winners companies</w:t>
            </w:r>
          </w:p>
        </w:tc>
        <w:tc>
          <w:tcPr>
            <w:tcW w:w="1050" w:type="dxa"/>
            <w:tcBorders>
              <w:top w:val="single" w:sz="4" w:space="0" w:color="auto"/>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 xml:space="preserve">Data </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 xml:space="preserve">% Consistency  </w:t>
            </w: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 xml:space="preserve">No of  as </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Consistency</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with respect to</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Period</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 xml:space="preserve">             For</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Repetitions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in Whole</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ROE in 2001</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 </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One Repetition</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as Winner</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b/>
                <w:bCs/>
                <w:sz w:val="20"/>
                <w:szCs w:val="20"/>
              </w:rPr>
            </w:pPr>
            <w:r>
              <w:rPr>
                <w:rFonts w:ascii="Arial" w:hAnsi="Arial" w:cs="Arial"/>
                <w:b/>
                <w:bCs/>
                <w:sz w:val="20"/>
                <w:szCs w:val="20"/>
              </w:rPr>
              <w:t>Data Perios</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Pak Elektron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2</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20%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Telephone Cables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2</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20%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Unilever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Nestle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Oilfields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6</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60%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International Industries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7</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70%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Al-Ghazi Tractors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4</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40%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The Hub Power Co</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Security Paper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2</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20%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Clariant </w:t>
            </w: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7</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70%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Lakson Tobacco Co</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5</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50%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Fauji Fertilizer Co</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6</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60%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Ghani Glass Limited</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Millat Tractors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3</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30%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Rafhan Maize Products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6</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60%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 xml:space="preserve">Grays of </w:t>
            </w:r>
            <w:smartTag w:uri="urn:schemas-microsoft-com:office:smarttags" w:element="City">
              <w:smartTag w:uri="urn:schemas-microsoft-com:office:smarttags" w:element="place">
                <w:r>
                  <w:rPr>
                    <w:rFonts w:ascii="Arial" w:hAnsi="Arial" w:cs="Arial"/>
                    <w:sz w:val="16"/>
                    <w:szCs w:val="16"/>
                  </w:rPr>
                  <w:t>Cambridge</w:t>
                </w:r>
              </w:smartTag>
            </w:smartTag>
            <w:r>
              <w:rPr>
                <w:rFonts w:ascii="Arial" w:hAnsi="Arial" w:cs="Arial"/>
                <w:sz w:val="16"/>
                <w:szCs w:val="16"/>
              </w:rPr>
              <w:t xml:space="preserve"> Pak</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r>
              <w:rPr>
                <w:rFonts w:ascii="Arial" w:hAnsi="Arial" w:cs="Arial"/>
                <w:sz w:val="16"/>
                <w:szCs w:val="16"/>
              </w:rPr>
              <w:t>Colgate - Palmolive Pak</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8</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80%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Pakistan</w:t>
                </w:r>
              </w:smartTag>
            </w:smartTag>
            <w:r>
              <w:rPr>
                <w:rFonts w:ascii="Arial" w:hAnsi="Arial" w:cs="Arial"/>
                <w:sz w:val="16"/>
                <w:szCs w:val="16"/>
              </w:rPr>
              <w:t xml:space="preserve"> Refinery </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10 years</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10.00%</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5</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50%</w:t>
            </w:r>
          </w:p>
        </w:tc>
      </w:tr>
      <w:tr w:rsidR="002034DD">
        <w:trPr>
          <w:trHeight w:val="86"/>
        </w:trPr>
        <w:tc>
          <w:tcPr>
            <w:tcW w:w="3361" w:type="dxa"/>
            <w:tcBorders>
              <w:top w:val="nil"/>
              <w:left w:val="single" w:sz="4" w:space="0" w:color="auto"/>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Average Consistency in 10 Years</w:t>
            </w:r>
          </w:p>
        </w:tc>
        <w:tc>
          <w:tcPr>
            <w:tcW w:w="105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 </w:t>
            </w:r>
          </w:p>
        </w:tc>
        <w:tc>
          <w:tcPr>
            <w:tcW w:w="1633"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rPr>
                <w:rFonts w:ascii="Arial" w:hAnsi="Arial" w:cs="Arial"/>
                <w:sz w:val="20"/>
                <w:szCs w:val="20"/>
              </w:rPr>
            </w:pPr>
            <w:r>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tcPr>
          <w:p w:rsidR="002034DD" w:rsidRDefault="002034DD" w:rsidP="003E2086">
            <w:pPr>
              <w:spacing w:line="360" w:lineRule="auto"/>
              <w:jc w:val="right"/>
              <w:rPr>
                <w:rFonts w:ascii="Arial" w:hAnsi="Arial" w:cs="Arial"/>
                <w:sz w:val="20"/>
                <w:szCs w:val="20"/>
              </w:rPr>
            </w:pPr>
            <w:r>
              <w:rPr>
                <w:rFonts w:ascii="Arial" w:hAnsi="Arial" w:cs="Arial"/>
                <w:sz w:val="20"/>
                <w:szCs w:val="20"/>
              </w:rPr>
              <w:t>47.78%</w:t>
            </w:r>
          </w:p>
        </w:tc>
      </w:tr>
    </w:tbl>
    <w:p w:rsidR="003E53E7" w:rsidRDefault="003E53E7" w:rsidP="003E2086">
      <w:pPr>
        <w:spacing w:before="100" w:beforeAutospacing="1" w:after="100" w:afterAutospacing="1" w:line="360" w:lineRule="auto"/>
        <w:rPr>
          <w:b/>
          <w:sz w:val="28"/>
          <w:szCs w:val="28"/>
        </w:rPr>
      </w:pPr>
    </w:p>
    <w:p w:rsidR="00E62A21" w:rsidRDefault="00F67466" w:rsidP="00F67466">
      <w:pPr>
        <w:spacing w:before="100" w:beforeAutospacing="1" w:after="100" w:afterAutospacing="1" w:line="360" w:lineRule="auto"/>
      </w:pPr>
      <w:r w:rsidRPr="00513A37">
        <w:t>This</w:t>
      </w:r>
      <w:r>
        <w:t xml:space="preserve"> table shows that the average performance consistency of the winners of 2001 was only 47.78%. Among the winners only </w:t>
      </w:r>
      <w:r w:rsidR="00A80E73">
        <w:t xml:space="preserve">Unilever and  Nestle </w:t>
      </w:r>
      <w:smartTag w:uri="urn:schemas-microsoft-com:office:smarttags" w:element="country-region">
        <w:smartTag w:uri="urn:schemas-microsoft-com:office:smarttags" w:element="place">
          <w:r w:rsidR="00A80E73">
            <w:t>Pakistan</w:t>
          </w:r>
        </w:smartTag>
      </w:smartTag>
      <w:r w:rsidR="00A80E73">
        <w:t xml:space="preserve"> </w:t>
      </w:r>
      <w:r>
        <w:t xml:space="preserve">repeated itself 10 times as </w:t>
      </w:r>
      <w:r>
        <w:lastRenderedPageBreak/>
        <w:t>winner</w:t>
      </w:r>
      <w:r w:rsidR="00A80E73">
        <w:t>s</w:t>
      </w:r>
      <w:r>
        <w:t xml:space="preserve"> or 100%%</w:t>
      </w:r>
      <w:r w:rsidRPr="00513A37">
        <w:t xml:space="preserve"> </w:t>
      </w:r>
      <w:r>
        <w:t>of the whole data period and hence maintained itself all the 10 times in the upper quartile.</w:t>
      </w:r>
    </w:p>
    <w:p w:rsidR="00F67466" w:rsidRPr="00513A37" w:rsidRDefault="00F67466" w:rsidP="00F67466">
      <w:pPr>
        <w:spacing w:before="100" w:beforeAutospacing="1" w:after="100" w:afterAutospacing="1" w:line="360" w:lineRule="auto"/>
      </w:pPr>
      <w:r>
        <w:t>. The following bar chart represents consistency in the ROA of winners in 2001.</w:t>
      </w:r>
    </w:p>
    <w:p w:rsidR="005813C4" w:rsidRDefault="005813C4" w:rsidP="003E2086">
      <w:pPr>
        <w:spacing w:before="100" w:beforeAutospacing="1" w:after="100" w:afterAutospacing="1" w:line="360" w:lineRule="auto"/>
        <w:rPr>
          <w:b/>
          <w:sz w:val="28"/>
          <w:szCs w:val="28"/>
        </w:rPr>
      </w:pPr>
    </w:p>
    <w:p w:rsidR="003E53E7" w:rsidRPr="002034DD" w:rsidRDefault="002B1411" w:rsidP="003E2086">
      <w:pPr>
        <w:spacing w:before="100" w:beforeAutospacing="1" w:after="100" w:afterAutospacing="1" w:line="360" w:lineRule="auto"/>
        <w:rPr>
          <w:b/>
          <w:sz w:val="28"/>
          <w:szCs w:val="28"/>
        </w:rPr>
      </w:pPr>
      <w:r w:rsidRPr="002034DD">
        <w:rPr>
          <w:noProof/>
        </w:rPr>
        <w:drawing>
          <wp:inline distT="0" distB="0" distL="0" distR="0">
            <wp:extent cx="5934075" cy="40862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rsidR="003E53E7" w:rsidRDefault="003E53E7"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932807" w:rsidP="003E2086">
      <w:pPr>
        <w:spacing w:before="100" w:beforeAutospacing="1" w:after="100" w:afterAutospacing="1" w:line="360" w:lineRule="auto"/>
        <w:rPr>
          <w:b/>
          <w:sz w:val="28"/>
          <w:szCs w:val="28"/>
        </w:rPr>
      </w:pPr>
      <w:r>
        <w:rPr>
          <w:b/>
          <w:sz w:val="28"/>
          <w:szCs w:val="28"/>
        </w:rPr>
        <w:t>Chapter 07</w:t>
      </w:r>
    </w:p>
    <w:p w:rsidR="00932807" w:rsidRDefault="00932807" w:rsidP="003E2086">
      <w:pPr>
        <w:spacing w:before="100" w:beforeAutospacing="1" w:after="100" w:afterAutospacing="1" w:line="360" w:lineRule="auto"/>
        <w:rPr>
          <w:b/>
          <w:sz w:val="28"/>
          <w:szCs w:val="28"/>
        </w:rPr>
      </w:pPr>
      <w:r>
        <w:rPr>
          <w:b/>
          <w:sz w:val="28"/>
          <w:szCs w:val="28"/>
        </w:rPr>
        <w:t>Findings and Recommendations</w:t>
      </w:r>
    </w:p>
    <w:p w:rsidR="005A03ED" w:rsidRDefault="008D4887" w:rsidP="003E2086">
      <w:pPr>
        <w:spacing w:before="100" w:beforeAutospacing="1" w:after="100" w:afterAutospacing="1" w:line="360" w:lineRule="auto"/>
      </w:pPr>
      <w:r>
        <w:t xml:space="preserve">At the beginning we had asked </w:t>
      </w:r>
      <w:r w:rsidR="006567CF">
        <w:t xml:space="preserve">ourselves queations, like </w:t>
      </w:r>
      <w:r w:rsidR="00591F97">
        <w:t>…………….</w:t>
      </w:r>
    </w:p>
    <w:p w:rsidR="00591F97" w:rsidRDefault="00591F97" w:rsidP="003E2086">
      <w:pPr>
        <w:spacing w:before="100" w:beforeAutospacing="1" w:after="100" w:afterAutospacing="1" w:line="360" w:lineRule="auto"/>
      </w:pPr>
      <w:r>
        <w:t xml:space="preserve">And we undergone to a cumbersome process </w:t>
      </w:r>
      <w:r w:rsidR="004B7BF1">
        <w:t>of data analysis just to find out answers to thee questions. Now after alenghty process of six chapters we have reached the point where we can answer thes questions and present our findings.</w:t>
      </w:r>
    </w:p>
    <w:p w:rsidR="004B7BF1" w:rsidRPr="005A03ED" w:rsidRDefault="004B7BF1" w:rsidP="003E2086">
      <w:pPr>
        <w:spacing w:before="100" w:beforeAutospacing="1" w:after="100" w:afterAutospacing="1" w:line="360" w:lineRule="auto"/>
      </w:pPr>
      <w:r>
        <w:t xml:space="preserve">As our study was to investigate the performance consistency in the returns”ROA &amp; ROE : of 72 Selected Companies fron KSE 100 </w:t>
      </w:r>
      <w:r w:rsidR="00A64DA8">
        <w:t>i</w:t>
      </w:r>
      <w:r>
        <w:t>ndex</w:t>
      </w:r>
      <w:r w:rsidR="00A64DA8">
        <w:t>.</w:t>
      </w:r>
    </w:p>
    <w:p w:rsidR="00625306" w:rsidRDefault="00A64DA8" w:rsidP="003E2086">
      <w:pPr>
        <w:spacing w:before="100" w:beforeAutospacing="1" w:after="100" w:afterAutospacing="1" w:line="360" w:lineRule="auto"/>
      </w:pPr>
      <w:r w:rsidRPr="00A64DA8">
        <w:t xml:space="preserve">A comparison of Table 4.1 </w:t>
      </w:r>
      <w:r>
        <w:t xml:space="preserve">&amp; 4.2 </w:t>
      </w:r>
      <w:r w:rsidR="009A2E64">
        <w:t>suggests that the annual average returns of the winners wree positive ethroughout the data period, hence 100% positive annual average returns for winners.</w:t>
      </w:r>
      <w:r w:rsidR="00C90B9E">
        <w:t xml:space="preserve">the annual average returns of losers were negative for 7 years or 70% of the time </w:t>
      </w:r>
      <w:r w:rsidR="00925B36">
        <w:t>on the other hand comparing the coefficient of variation in the annual average returns of winners and losers it is concluded t</w:t>
      </w:r>
      <w:r w:rsidR="003E4014">
        <w:t>hat</w:t>
      </w:r>
      <w:r w:rsidR="00ED2D36">
        <w:t xml:space="preserve"> </w:t>
      </w:r>
      <w:r w:rsidR="00925B36">
        <w:t xml:space="preserve">the average returns of winners were less volatile in relation to its average raturns, </w:t>
      </w:r>
      <w:r w:rsidR="002321E5">
        <w:t xml:space="preserve">while the loser coefficient of variation shows high variation in the annual average returns of the losers in relation to its average </w:t>
      </w:r>
      <w:r w:rsidR="003E4014">
        <w:t>returns</w:t>
      </w:r>
      <w:r w:rsidR="002321E5">
        <w:t>.</w:t>
      </w:r>
    </w:p>
    <w:p w:rsidR="003B6664" w:rsidRDefault="003B6664" w:rsidP="003E2086">
      <w:pPr>
        <w:spacing w:before="100" w:beforeAutospacing="1" w:after="100" w:afterAutospacing="1" w:line="360" w:lineRule="auto"/>
      </w:pPr>
      <w:r>
        <w:t>The interquartile range table shows that the 1</w:t>
      </w:r>
      <w:r w:rsidRPr="003B6664">
        <w:rPr>
          <w:vertAlign w:val="superscript"/>
        </w:rPr>
        <w:t>st</w:t>
      </w:r>
      <w:r>
        <w:t xml:space="preserve"> quartile stocks underperformed 50%  of the time. </w:t>
      </w:r>
      <w:r w:rsidR="006D4DA5">
        <w:t>The median stocks under performed 40% and the upper Quartile stocks only 10%</w:t>
      </w:r>
      <w:r w:rsidR="006411F3">
        <w:t xml:space="preserve"> of the tme, the average interquartile range in the returns of winners and losers</w:t>
      </w:r>
      <w:r w:rsidR="00E72150">
        <w:t xml:space="preserve"> was 57.22%</w:t>
      </w:r>
      <w:r w:rsidR="005E2E62">
        <w:t>, thus confinding stock selection to the upper quartile could have provided investors a chance to earn 57.22 % greater returns from the bottom quartile in a randomly chosen year from 2001-10</w:t>
      </w:r>
    </w:p>
    <w:p w:rsidR="00DF3DF4" w:rsidRDefault="00DF3DF4" w:rsidP="003E2086">
      <w:pPr>
        <w:spacing w:before="100" w:beforeAutospacing="1" w:after="100" w:afterAutospacing="1" w:line="360" w:lineRule="auto"/>
      </w:pPr>
    </w:p>
    <w:p w:rsidR="00DF3DF4" w:rsidRPr="00A64DA8" w:rsidRDefault="00DF3DF4" w:rsidP="003E2086">
      <w:pPr>
        <w:spacing w:before="100" w:beforeAutospacing="1" w:after="100" w:afterAutospacing="1" w:line="360" w:lineRule="auto"/>
      </w:pPr>
    </w:p>
    <w:p w:rsidR="00625306" w:rsidRPr="00A64DA8" w:rsidRDefault="00625306" w:rsidP="003E2086">
      <w:pPr>
        <w:spacing w:before="100" w:beforeAutospacing="1" w:after="100" w:afterAutospacing="1" w:line="360" w:lineRule="auto"/>
      </w:pPr>
    </w:p>
    <w:p w:rsidR="00625306" w:rsidRDefault="00625306" w:rsidP="003E2086">
      <w:pPr>
        <w:spacing w:before="100" w:beforeAutospacing="1" w:after="100" w:afterAutospacing="1" w:line="360" w:lineRule="auto"/>
        <w:rPr>
          <w:b/>
          <w:sz w:val="28"/>
          <w:szCs w:val="28"/>
        </w:rPr>
      </w:pPr>
    </w:p>
    <w:p w:rsidR="00625306" w:rsidRDefault="00DF3DF4" w:rsidP="003E2086">
      <w:pPr>
        <w:spacing w:before="100" w:beforeAutospacing="1" w:after="100" w:afterAutospacing="1" w:line="360" w:lineRule="auto"/>
        <w:rPr>
          <w:b/>
          <w:sz w:val="28"/>
          <w:szCs w:val="28"/>
        </w:rPr>
      </w:pPr>
      <w:r>
        <w:rPr>
          <w:b/>
          <w:sz w:val="28"/>
          <w:szCs w:val="28"/>
        </w:rPr>
        <w:t>Recommendations</w:t>
      </w:r>
    </w:p>
    <w:p w:rsidR="0092646D" w:rsidRPr="0092646D" w:rsidRDefault="0092646D" w:rsidP="003E2086">
      <w:pPr>
        <w:spacing w:before="100" w:beforeAutospacing="1" w:after="100" w:afterAutospacing="1" w:line="360" w:lineRule="auto"/>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625306" w:rsidRDefault="00625306" w:rsidP="003E2086">
      <w:pPr>
        <w:spacing w:before="100" w:beforeAutospacing="1" w:after="100" w:afterAutospacing="1" w:line="360" w:lineRule="auto"/>
        <w:rPr>
          <w:b/>
          <w:sz w:val="28"/>
          <w:szCs w:val="28"/>
        </w:rPr>
      </w:pPr>
    </w:p>
    <w:p w:rsidR="008B1D4F" w:rsidRDefault="008B1D4F" w:rsidP="003E2086">
      <w:pPr>
        <w:spacing w:before="100" w:beforeAutospacing="1" w:after="100" w:afterAutospacing="1" w:line="360" w:lineRule="auto"/>
        <w:rPr>
          <w:b/>
          <w:sz w:val="28"/>
          <w:szCs w:val="28"/>
        </w:rPr>
      </w:pPr>
    </w:p>
    <w:p w:rsidR="00F679A1" w:rsidRDefault="00F679A1" w:rsidP="003E2086">
      <w:pPr>
        <w:spacing w:before="100" w:beforeAutospacing="1" w:after="100" w:afterAutospacing="1" w:line="360" w:lineRule="auto"/>
        <w:rPr>
          <w:b/>
          <w:sz w:val="28"/>
          <w:szCs w:val="28"/>
        </w:rPr>
      </w:pPr>
    </w:p>
    <w:p w:rsidR="00F679A1" w:rsidRDefault="00F679A1" w:rsidP="003E2086">
      <w:pPr>
        <w:spacing w:before="100" w:beforeAutospacing="1" w:after="100" w:afterAutospacing="1" w:line="360" w:lineRule="auto"/>
        <w:rPr>
          <w:b/>
          <w:sz w:val="28"/>
          <w:szCs w:val="28"/>
        </w:rPr>
      </w:pPr>
    </w:p>
    <w:p w:rsidR="00F679A1" w:rsidRDefault="00F679A1" w:rsidP="003E2086">
      <w:pPr>
        <w:spacing w:before="100" w:beforeAutospacing="1" w:after="100" w:afterAutospacing="1" w:line="360" w:lineRule="auto"/>
        <w:rPr>
          <w:b/>
          <w:sz w:val="28"/>
          <w:szCs w:val="28"/>
        </w:rPr>
      </w:pPr>
    </w:p>
    <w:p w:rsidR="00F679A1" w:rsidRDefault="00F679A1" w:rsidP="003E2086">
      <w:pPr>
        <w:spacing w:before="100" w:beforeAutospacing="1" w:after="100" w:afterAutospacing="1" w:line="360" w:lineRule="auto"/>
        <w:rPr>
          <w:b/>
          <w:sz w:val="28"/>
          <w:szCs w:val="28"/>
        </w:rPr>
      </w:pPr>
    </w:p>
    <w:p w:rsidR="009917F7" w:rsidRPr="00CD14D7" w:rsidRDefault="009917F7" w:rsidP="003E2086">
      <w:pPr>
        <w:spacing w:before="100" w:beforeAutospacing="1" w:after="100" w:afterAutospacing="1" w:line="360" w:lineRule="auto"/>
        <w:rPr>
          <w:b/>
          <w:sz w:val="28"/>
          <w:szCs w:val="28"/>
        </w:rPr>
      </w:pPr>
      <w:r w:rsidRPr="00CD14D7">
        <w:rPr>
          <w:b/>
          <w:sz w:val="28"/>
          <w:szCs w:val="28"/>
        </w:rPr>
        <w:lastRenderedPageBreak/>
        <w:t>References:</w:t>
      </w:r>
    </w:p>
    <w:p w:rsidR="00B17D0F" w:rsidRDefault="009917F7" w:rsidP="003E2086">
      <w:pPr>
        <w:pStyle w:val="ListParagraph"/>
        <w:numPr>
          <w:ilvl w:val="0"/>
          <w:numId w:val="10"/>
        </w:numPr>
        <w:spacing w:beforeAutospacing="1" w:after="100" w:afterAutospacing="1" w:line="360" w:lineRule="auto"/>
      </w:pPr>
      <w:r w:rsidRPr="00B17D0F">
        <w:t>Jegadeesh, N. and S. Titman, 1993, Returns to buying winners and selling losers: Implications for stock market efficiency Markowitz, T. J. and M. Grinblatt, 1999, Do industries explain momentum, Journal of Finance 54, 1249–90.</w:t>
      </w:r>
    </w:p>
    <w:p w:rsidR="00B17D0F" w:rsidRDefault="00B17D0F" w:rsidP="003E2086">
      <w:pPr>
        <w:pStyle w:val="ListParagraph"/>
        <w:numPr>
          <w:ilvl w:val="0"/>
          <w:numId w:val="10"/>
        </w:numPr>
        <w:spacing w:beforeAutospacing="1" w:after="100" w:afterAutospacing="1" w:line="360" w:lineRule="auto"/>
      </w:pPr>
      <w:r>
        <w:t xml:space="preserve">Burton </w:t>
      </w:r>
      <w:r w:rsidR="00B05298">
        <w:t>Malkiel</w:t>
      </w:r>
      <w:r>
        <w:t xml:space="preserve"> “ the case of index funds” mutual funds </w:t>
      </w:r>
      <w:r w:rsidR="00B05298">
        <w:t>Magazine, February</w:t>
      </w:r>
      <w:r>
        <w:t xml:space="preserve"> 1999</w:t>
      </w:r>
    </w:p>
    <w:p w:rsidR="003E43CF" w:rsidRPr="003E43CF" w:rsidRDefault="003E43CF" w:rsidP="003E2086">
      <w:pPr>
        <w:pStyle w:val="ListParagraph"/>
        <w:numPr>
          <w:ilvl w:val="0"/>
          <w:numId w:val="10"/>
        </w:numPr>
        <w:spacing w:before="100" w:beforeAutospacing="1" w:after="100" w:afterAutospacing="1" w:line="360" w:lineRule="auto"/>
      </w:pPr>
      <w:r>
        <w:t>Latane, Tuttle and Jones  “</w:t>
      </w:r>
      <w:r w:rsidRPr="003E43CF">
        <w:t>Security an</w:t>
      </w:r>
      <w:r>
        <w:t>alysis and portfolio management”</w:t>
      </w:r>
      <w:r w:rsidRPr="003E43CF">
        <w:t xml:space="preserve"> 2</w:t>
      </w:r>
      <w:r w:rsidRPr="003E43CF">
        <w:rPr>
          <w:vertAlign w:val="superscript"/>
        </w:rPr>
        <w:t>nd</w:t>
      </w:r>
      <w:r w:rsidRPr="003E43CF">
        <w:t xml:space="preserve"> edition </w:t>
      </w:r>
      <w:smartTag w:uri="urn:schemas-microsoft-com:office:smarttags" w:element="place">
        <w:smartTag w:uri="urn:schemas-microsoft-com:office:smarttags" w:element="State">
          <w:r w:rsidRPr="003E43CF">
            <w:t>New York</w:t>
          </w:r>
        </w:smartTag>
      </w:smartTag>
      <w:r w:rsidRPr="003E43CF">
        <w:t>: Ronald Press, 1975)</w:t>
      </w:r>
    </w:p>
    <w:p w:rsidR="009917F7" w:rsidRDefault="00940A8F" w:rsidP="003E2086">
      <w:pPr>
        <w:pStyle w:val="ListParagraph"/>
        <w:numPr>
          <w:ilvl w:val="0"/>
          <w:numId w:val="10"/>
        </w:numPr>
        <w:spacing w:beforeAutospacing="1" w:after="100" w:afterAutospacing="1" w:line="360" w:lineRule="auto"/>
      </w:pPr>
      <w:r>
        <w:t>Richard W.McEnally and Rebecca B.Todd “cross</w:t>
      </w:r>
      <w:r w:rsidR="008D3FB3">
        <w:t xml:space="preserve"> S</w:t>
      </w:r>
      <w:r>
        <w:t>ectional variation in common stocks returns” In “Financial Analysts Journal “volume 48, 1992</w:t>
      </w:r>
    </w:p>
    <w:p w:rsidR="009917F7" w:rsidRDefault="0006440A" w:rsidP="003E2086">
      <w:pPr>
        <w:pStyle w:val="ListParagraph"/>
        <w:numPr>
          <w:ilvl w:val="0"/>
          <w:numId w:val="10"/>
        </w:numPr>
        <w:spacing w:beforeAutospacing="1" w:after="100" w:afterAutospacing="1" w:line="360" w:lineRule="auto"/>
      </w:pPr>
      <w:r>
        <w:t xml:space="preserve">Charles </w:t>
      </w:r>
      <w:r w:rsidR="00D45613">
        <w:t>P.Jones and jack W</w:t>
      </w:r>
      <w:r>
        <w:t>.</w:t>
      </w:r>
      <w:r w:rsidR="00D45613">
        <w:t xml:space="preserve">Wilson </w:t>
      </w:r>
      <w:r>
        <w:t>“is stock price volatility increasing”1972.</w:t>
      </w:r>
    </w:p>
    <w:p w:rsidR="0006440A" w:rsidRDefault="00072CA0" w:rsidP="003E2086">
      <w:pPr>
        <w:pStyle w:val="ListParagraph"/>
        <w:numPr>
          <w:ilvl w:val="0"/>
          <w:numId w:val="10"/>
        </w:numPr>
        <w:spacing w:beforeAutospacing="1" w:after="100" w:afterAutospacing="1" w:line="360" w:lineRule="auto"/>
      </w:pPr>
      <w:r>
        <w:t xml:space="preserve">Brad </w:t>
      </w:r>
      <w:r w:rsidR="00BF0117">
        <w:t>Barber, Reuven</w:t>
      </w:r>
      <w:r>
        <w:t xml:space="preserve"> Leha</w:t>
      </w:r>
      <w:r w:rsidR="00E25A46">
        <w:t>vy,Brett Trueman and Maureen M</w:t>
      </w:r>
      <w:r w:rsidR="00E25A46" w:rsidRPr="00E25A46">
        <w:t>c</w:t>
      </w:r>
      <w:r w:rsidRPr="00E25A46">
        <w:t xml:space="preserve">Nichols “ </w:t>
      </w:r>
      <w:r w:rsidR="00D45613" w:rsidRPr="00E25A46">
        <w:t xml:space="preserve">Reassessing </w:t>
      </w:r>
      <w:r w:rsidRPr="00E25A46">
        <w:t>the returns to analysts’ stock recommendations” financial analysts journal (</w:t>
      </w:r>
      <w:r w:rsidR="00D45613" w:rsidRPr="00E25A46">
        <w:t>March</w:t>
      </w:r>
      <w:r w:rsidRPr="00E25A46">
        <w:t>/</w:t>
      </w:r>
      <w:r w:rsidR="00D45613" w:rsidRPr="00E25A46">
        <w:t>April</w:t>
      </w:r>
      <w:r w:rsidRPr="00E25A46">
        <w:t xml:space="preserve"> 2003)</w:t>
      </w:r>
    </w:p>
    <w:p w:rsidR="00E25A46" w:rsidRDefault="00E25A46" w:rsidP="003E2086">
      <w:pPr>
        <w:pStyle w:val="ListParagraph"/>
        <w:numPr>
          <w:ilvl w:val="0"/>
          <w:numId w:val="10"/>
        </w:numPr>
        <w:spacing w:beforeAutospacing="1" w:after="100" w:afterAutospacing="1" w:line="360" w:lineRule="auto"/>
      </w:pPr>
      <w:r>
        <w:t xml:space="preserve">Eric </w:t>
      </w:r>
      <w:r w:rsidR="00BA62C0">
        <w:t xml:space="preserve">Chang </w:t>
      </w:r>
      <w:r>
        <w:t xml:space="preserve">and Wilbur </w:t>
      </w:r>
      <w:r w:rsidR="00BA62C0">
        <w:t xml:space="preserve">Lewellen </w:t>
      </w:r>
      <w:r>
        <w:t>“market timing and mutual fund investment performance” journal of business 1984</w:t>
      </w:r>
    </w:p>
    <w:p w:rsidR="00E25A46" w:rsidRDefault="00E25A46" w:rsidP="003E2086">
      <w:pPr>
        <w:pStyle w:val="ListParagraph"/>
        <w:numPr>
          <w:ilvl w:val="0"/>
          <w:numId w:val="10"/>
        </w:numPr>
        <w:spacing w:beforeAutospacing="1" w:after="100" w:afterAutospacing="1" w:line="360" w:lineRule="auto"/>
      </w:pPr>
      <w:r>
        <w:t xml:space="preserve">Roy </w:t>
      </w:r>
      <w:r w:rsidR="00BA62C0">
        <w:t>D</w:t>
      </w:r>
      <w:r>
        <w:t>.</w:t>
      </w:r>
      <w:r w:rsidR="00BA62C0">
        <w:t xml:space="preserve">Henrikson </w:t>
      </w:r>
      <w:r>
        <w:t>“market timing and mutual funds investment performance: an empirical investigation” journal of business 1984</w:t>
      </w:r>
    </w:p>
    <w:p w:rsidR="00090A78" w:rsidRDefault="00685FA7" w:rsidP="003E2086">
      <w:pPr>
        <w:pStyle w:val="ListParagraph"/>
        <w:numPr>
          <w:ilvl w:val="0"/>
          <w:numId w:val="10"/>
        </w:numPr>
        <w:spacing w:beforeAutospacing="1" w:after="100" w:afterAutospacing="1" w:line="360" w:lineRule="auto"/>
      </w:pPr>
      <w:hyperlink r:id="rId36" w:history="1">
        <w:r w:rsidR="00090A78" w:rsidRPr="00516D96">
          <w:rPr>
            <w:rStyle w:val="Hyperlink"/>
          </w:rPr>
          <w:t>www.berecorder.com</w:t>
        </w:r>
      </w:hyperlink>
    </w:p>
    <w:p w:rsidR="00D54D90" w:rsidRPr="00D54D90" w:rsidRDefault="00685FA7" w:rsidP="003E2086">
      <w:pPr>
        <w:pStyle w:val="ListParagraph"/>
        <w:numPr>
          <w:ilvl w:val="0"/>
          <w:numId w:val="10"/>
        </w:numPr>
        <w:spacing w:beforeAutospacing="1" w:after="100" w:afterAutospacing="1" w:line="360" w:lineRule="auto"/>
      </w:pPr>
      <w:hyperlink r:id="rId37" w:history="1">
        <w:r w:rsidR="005B5D37" w:rsidRPr="00516D96">
          <w:rPr>
            <w:rStyle w:val="Hyperlink"/>
          </w:rPr>
          <w:t>www.kse.com</w:t>
        </w:r>
      </w:hyperlink>
    </w:p>
    <w:p w:rsidR="001C7806" w:rsidRPr="00332B4D" w:rsidRDefault="001501FA" w:rsidP="003E2086">
      <w:pPr>
        <w:pStyle w:val="ListParagraph"/>
        <w:numPr>
          <w:ilvl w:val="0"/>
          <w:numId w:val="10"/>
        </w:numPr>
        <w:spacing w:before="100" w:beforeAutospacing="1" w:after="100" w:afterAutospacing="1" w:line="360" w:lineRule="auto"/>
      </w:pPr>
      <w:r w:rsidRPr="000D2F6C">
        <w:t xml:space="preserve">Hameed, A. and Kusnadi, Y. (2002), Momentum Strategies: Evidence from </w:t>
      </w:r>
      <w:smartTag w:uri="urn:schemas-microsoft-com:office:smarttags" w:element="place">
        <w:smartTag w:uri="urn:schemas-microsoft-com:office:smarttags" w:element="PlaceName">
          <w:r w:rsidRPr="000D2F6C">
            <w:t>Pacific</w:t>
          </w:r>
        </w:smartTag>
        <w:r w:rsidRPr="000D2F6C">
          <w:t xml:space="preserve"> </w:t>
        </w:r>
        <w:smartTag w:uri="urn:schemas-microsoft-com:office:smarttags" w:element="PlaceType">
          <w:r w:rsidRPr="000D2F6C">
            <w:t>Basin</w:t>
          </w:r>
        </w:smartTag>
      </w:smartTag>
      <w:r w:rsidRPr="000D2F6C">
        <w:t xml:space="preserve"> Stock Markets. Journal of Financial Research</w:t>
      </w:r>
    </w:p>
    <w:p w:rsidR="00332B4D" w:rsidRPr="000D2F6C" w:rsidRDefault="00332B4D" w:rsidP="003E2086">
      <w:pPr>
        <w:pStyle w:val="ListParagraph"/>
        <w:numPr>
          <w:ilvl w:val="0"/>
          <w:numId w:val="10"/>
        </w:numPr>
        <w:spacing w:before="100" w:beforeAutospacing="1" w:after="100" w:afterAutospacing="1" w:line="360" w:lineRule="auto"/>
      </w:pPr>
      <w:r w:rsidRPr="000D2F6C">
        <w:t xml:space="preserve">Barberis, N., A. Shleifer, and R. Vishny, 1998, A model of investor sentiment, Journal of Financial Economics 49, 307–43. </w:t>
      </w:r>
    </w:p>
    <w:p w:rsidR="00DD425C" w:rsidRPr="000D2F6C" w:rsidRDefault="00DD425C" w:rsidP="003E2086">
      <w:pPr>
        <w:pStyle w:val="ListParagraph"/>
        <w:numPr>
          <w:ilvl w:val="0"/>
          <w:numId w:val="10"/>
        </w:numPr>
        <w:spacing w:before="100" w:beforeAutospacing="1" w:after="100" w:afterAutospacing="1" w:line="360" w:lineRule="auto"/>
      </w:pPr>
      <w:r w:rsidRPr="000D2F6C">
        <w:t xml:space="preserve">Chan K., A. Hameed, and W. Tong, 2000, Profitability of momentum strategies in the international equity markets, Journal of Financial and Quantitative Analysis 35, 153–72. </w:t>
      </w:r>
    </w:p>
    <w:p w:rsidR="00DD425C" w:rsidRPr="000D2F6C" w:rsidRDefault="00DD425C" w:rsidP="003E2086">
      <w:pPr>
        <w:pStyle w:val="ListParagraph"/>
        <w:numPr>
          <w:ilvl w:val="0"/>
          <w:numId w:val="10"/>
        </w:numPr>
        <w:spacing w:before="100" w:beforeAutospacing="1" w:after="100" w:afterAutospacing="1" w:line="360" w:lineRule="auto"/>
      </w:pPr>
      <w:r w:rsidRPr="000D2F6C">
        <w:t xml:space="preserve">Chan, L. K. C., N. Jegadeesh, and J. Lakonishok, 1996, Momentum strategies, Journal of Finance 51, 1681–1713. </w:t>
      </w:r>
    </w:p>
    <w:p w:rsidR="00DD425C" w:rsidRPr="000D2F6C" w:rsidRDefault="00DD425C" w:rsidP="003E2086">
      <w:pPr>
        <w:pStyle w:val="ListParagraph"/>
        <w:numPr>
          <w:ilvl w:val="0"/>
          <w:numId w:val="10"/>
        </w:numPr>
        <w:spacing w:before="100" w:beforeAutospacing="1" w:after="100" w:afterAutospacing="1" w:line="360" w:lineRule="auto"/>
      </w:pPr>
      <w:r w:rsidRPr="000D2F6C">
        <w:lastRenderedPageBreak/>
        <w:t xml:space="preserve">Lee, C. M. C and B. </w:t>
      </w:r>
      <w:r w:rsidR="000C4E95" w:rsidRPr="000D2F6C">
        <w:t>Swaminathan</w:t>
      </w:r>
      <w:r w:rsidRPr="000D2F6C">
        <w:t xml:space="preserve">, 2000, Price momentum and trading volume, Journal of Finance 55, 2017–69. </w:t>
      </w:r>
    </w:p>
    <w:p w:rsidR="00DD425C" w:rsidRDefault="000C4E95" w:rsidP="003E2086">
      <w:pPr>
        <w:pStyle w:val="ListParagraph"/>
        <w:numPr>
          <w:ilvl w:val="0"/>
          <w:numId w:val="10"/>
        </w:numPr>
        <w:spacing w:before="100" w:beforeAutospacing="1" w:after="100" w:afterAutospacing="1" w:line="360" w:lineRule="auto"/>
      </w:pPr>
      <w:r w:rsidRPr="000D2F6C">
        <w:t>Markowitz</w:t>
      </w:r>
      <w:r w:rsidR="00DD425C" w:rsidRPr="000D2F6C">
        <w:t xml:space="preserve">, T. J. and M. Grinblatt, 1999, Do industries explain momentum, Journal of Finance 54, 1249–90. </w:t>
      </w:r>
    </w:p>
    <w:p w:rsidR="00355BD1" w:rsidRPr="000D2F6C" w:rsidRDefault="00355BD1" w:rsidP="003E2086">
      <w:pPr>
        <w:pStyle w:val="ListParagraph"/>
        <w:spacing w:before="100" w:beforeAutospacing="1" w:after="100" w:afterAutospacing="1" w:line="360" w:lineRule="auto"/>
        <w:ind w:left="1859"/>
      </w:pPr>
    </w:p>
    <w:sectPr w:rsidR="00355BD1" w:rsidRPr="000D2F6C" w:rsidSect="00AE5BA3">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3A" w:rsidRDefault="004A373A">
      <w:r>
        <w:separator/>
      </w:r>
    </w:p>
  </w:endnote>
  <w:endnote w:type="continuationSeparator" w:id="0">
    <w:p w:rsidR="004A373A" w:rsidRDefault="004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3A" w:rsidRDefault="004A373A">
      <w:r>
        <w:separator/>
      </w:r>
    </w:p>
  </w:footnote>
  <w:footnote w:type="continuationSeparator" w:id="0">
    <w:p w:rsidR="004A373A" w:rsidRDefault="004A373A">
      <w:r>
        <w:continuationSeparator/>
      </w:r>
    </w:p>
  </w:footnote>
  <w:footnote w:id="1">
    <w:p w:rsidR="00F679A1" w:rsidRDefault="00F679A1">
      <w:pPr>
        <w:pStyle w:val="FootnoteText"/>
      </w:pPr>
      <w:r>
        <w:rPr>
          <w:rStyle w:val="FootnoteReference"/>
        </w:rPr>
        <w:footnoteRef/>
      </w:r>
      <w:r>
        <w:t xml:space="preserve"> Charles Ellis. Winning the loser’s Game (New York: McGraw Hill  3</w:t>
      </w:r>
      <w:r w:rsidRPr="000F1D04">
        <w:rPr>
          <w:vertAlign w:val="superscript"/>
        </w:rPr>
        <w:t>rd</w:t>
      </w:r>
      <w:r>
        <w:rPr>
          <w:vertAlign w:val="superscript"/>
        </w:rPr>
        <w:t xml:space="preserve">  </w:t>
      </w:r>
      <w:r>
        <w:t xml:space="preserve">  Edition 1998….page 10) </w:t>
      </w:r>
    </w:p>
  </w:footnote>
  <w:footnote w:id="2">
    <w:p w:rsidR="00F679A1" w:rsidRDefault="00F679A1">
      <w:pPr>
        <w:pStyle w:val="FootnoteText"/>
      </w:pPr>
      <w:r>
        <w:rPr>
          <w:rStyle w:val="FootnoteReference"/>
        </w:rPr>
        <w:footnoteRef/>
      </w:r>
      <w:r>
        <w:t xml:space="preserve"> Andy Serwer. “The Oracle of Everything” ( Fortune, Nov 11,2002   page 71)</w:t>
      </w:r>
    </w:p>
  </w:footnote>
  <w:footnote w:id="3">
    <w:p w:rsidR="00F679A1" w:rsidRDefault="00F679A1">
      <w:pPr>
        <w:pStyle w:val="FootnoteText"/>
      </w:pPr>
      <w:r>
        <w:rPr>
          <w:rStyle w:val="FootnoteReference"/>
        </w:rPr>
        <w:t>1</w:t>
      </w:r>
      <w:r>
        <w:t xml:space="preserve"> Return On Assets (ROA) is also known as Return On Net Worth (RONW).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A1" w:rsidRDefault="00F679A1" w:rsidP="00AB61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9A1" w:rsidRDefault="00F679A1" w:rsidP="009853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A1" w:rsidRDefault="00F679A1" w:rsidP="00AB61B6">
    <w:pPr>
      <w:pStyle w:val="Header"/>
      <w:framePr w:wrap="around" w:vAnchor="text" w:hAnchor="margin" w:xAlign="right" w:y="1"/>
      <w:rPr>
        <w:rStyle w:val="PageNumber"/>
      </w:rPr>
    </w:pPr>
  </w:p>
  <w:p w:rsidR="00F679A1" w:rsidRDefault="00F679A1" w:rsidP="009853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B6B9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AEA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E429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0A42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9E25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01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EA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9E91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A4A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2881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F61D1"/>
    <w:multiLevelType w:val="hybridMultilevel"/>
    <w:tmpl w:val="C128C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184E15"/>
    <w:multiLevelType w:val="hybridMultilevel"/>
    <w:tmpl w:val="835C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B2CD8"/>
    <w:multiLevelType w:val="hybridMultilevel"/>
    <w:tmpl w:val="A96037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C07B5"/>
    <w:multiLevelType w:val="hybridMultilevel"/>
    <w:tmpl w:val="B8E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07B54"/>
    <w:multiLevelType w:val="hybridMultilevel"/>
    <w:tmpl w:val="2214D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27A71"/>
    <w:multiLevelType w:val="hybridMultilevel"/>
    <w:tmpl w:val="2F3C5CCE"/>
    <w:lvl w:ilvl="0" w:tplc="04090005">
      <w:start w:val="1"/>
      <w:numFmt w:val="bullet"/>
      <w:lvlText w:val=""/>
      <w:lvlJc w:val="left"/>
      <w:pPr>
        <w:tabs>
          <w:tab w:val="num" w:pos="788"/>
        </w:tabs>
        <w:ind w:left="788" w:hanging="360"/>
      </w:pPr>
      <w:rPr>
        <w:rFonts w:ascii="Wingdings" w:hAnsi="Wingdings"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21380D5A"/>
    <w:multiLevelType w:val="hybridMultilevel"/>
    <w:tmpl w:val="F2DA5A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71B5C"/>
    <w:multiLevelType w:val="hybridMultilevel"/>
    <w:tmpl w:val="B310ED56"/>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8" w15:restartNumberingAfterBreak="0">
    <w:nsid w:val="4F0E09E8"/>
    <w:multiLevelType w:val="hybridMultilevel"/>
    <w:tmpl w:val="8A184B78"/>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19" w15:restartNumberingAfterBreak="0">
    <w:nsid w:val="546031CD"/>
    <w:multiLevelType w:val="hybridMultilevel"/>
    <w:tmpl w:val="E830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E2B91"/>
    <w:multiLevelType w:val="hybridMultilevel"/>
    <w:tmpl w:val="07FA41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 w15:restartNumberingAfterBreak="0">
    <w:nsid w:val="684A3472"/>
    <w:multiLevelType w:val="hybridMultilevel"/>
    <w:tmpl w:val="64C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D1581"/>
    <w:multiLevelType w:val="hybridMultilevel"/>
    <w:tmpl w:val="C17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C0F10"/>
    <w:multiLevelType w:val="hybridMultilevel"/>
    <w:tmpl w:val="576E6B0C"/>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4" w15:restartNumberingAfterBreak="0">
    <w:nsid w:val="73640D9B"/>
    <w:multiLevelType w:val="hybridMultilevel"/>
    <w:tmpl w:val="C2688490"/>
    <w:lvl w:ilvl="0" w:tplc="FAC04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7165C"/>
    <w:multiLevelType w:val="hybridMultilevel"/>
    <w:tmpl w:val="C4324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9"/>
  </w:num>
  <w:num w:numId="3">
    <w:abstractNumId w:val="20"/>
  </w:num>
  <w:num w:numId="4">
    <w:abstractNumId w:val="22"/>
  </w:num>
  <w:num w:numId="5">
    <w:abstractNumId w:val="21"/>
  </w:num>
  <w:num w:numId="6">
    <w:abstractNumId w:val="17"/>
  </w:num>
  <w:num w:numId="7">
    <w:abstractNumId w:val="18"/>
  </w:num>
  <w:num w:numId="8">
    <w:abstractNumId w:val="13"/>
  </w:num>
  <w:num w:numId="9">
    <w:abstractNumId w:val="11"/>
  </w:num>
  <w:num w:numId="10">
    <w:abstractNumId w:val="23"/>
  </w:num>
  <w:num w:numId="11">
    <w:abstractNumId w:val="16"/>
  </w:num>
  <w:num w:numId="12">
    <w:abstractNumId w:val="14"/>
  </w:num>
  <w:num w:numId="13">
    <w:abstractNumId w:val="25"/>
  </w:num>
  <w:num w:numId="14">
    <w:abstractNumId w:val="10"/>
  </w:num>
  <w:num w:numId="15">
    <w:abstractNumId w:val="15"/>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52"/>
    <w:rsid w:val="00004093"/>
    <w:rsid w:val="000060A6"/>
    <w:rsid w:val="00007BC4"/>
    <w:rsid w:val="00007BFF"/>
    <w:rsid w:val="000111E2"/>
    <w:rsid w:val="00012D3F"/>
    <w:rsid w:val="0001354A"/>
    <w:rsid w:val="00025F08"/>
    <w:rsid w:val="0002658F"/>
    <w:rsid w:val="00027438"/>
    <w:rsid w:val="00027AB1"/>
    <w:rsid w:val="00027E42"/>
    <w:rsid w:val="000311F2"/>
    <w:rsid w:val="00031AF6"/>
    <w:rsid w:val="0003205D"/>
    <w:rsid w:val="00032443"/>
    <w:rsid w:val="000340C7"/>
    <w:rsid w:val="00035ED5"/>
    <w:rsid w:val="00037540"/>
    <w:rsid w:val="000441C8"/>
    <w:rsid w:val="00046413"/>
    <w:rsid w:val="0004714E"/>
    <w:rsid w:val="00050591"/>
    <w:rsid w:val="000548B9"/>
    <w:rsid w:val="000550BB"/>
    <w:rsid w:val="0006440A"/>
    <w:rsid w:val="00064776"/>
    <w:rsid w:val="000716CE"/>
    <w:rsid w:val="00072B2A"/>
    <w:rsid w:val="00072CA0"/>
    <w:rsid w:val="000756E6"/>
    <w:rsid w:val="000759B3"/>
    <w:rsid w:val="00076F55"/>
    <w:rsid w:val="000777E3"/>
    <w:rsid w:val="00082292"/>
    <w:rsid w:val="00082866"/>
    <w:rsid w:val="000831E0"/>
    <w:rsid w:val="00083625"/>
    <w:rsid w:val="00083917"/>
    <w:rsid w:val="00090A78"/>
    <w:rsid w:val="000959AA"/>
    <w:rsid w:val="00095B9A"/>
    <w:rsid w:val="00095BD1"/>
    <w:rsid w:val="00095F14"/>
    <w:rsid w:val="00097A23"/>
    <w:rsid w:val="000A2AA4"/>
    <w:rsid w:val="000B1423"/>
    <w:rsid w:val="000B2621"/>
    <w:rsid w:val="000B42DF"/>
    <w:rsid w:val="000B5B0F"/>
    <w:rsid w:val="000B5D9B"/>
    <w:rsid w:val="000B64CB"/>
    <w:rsid w:val="000C4E95"/>
    <w:rsid w:val="000C6567"/>
    <w:rsid w:val="000C70A5"/>
    <w:rsid w:val="000C758F"/>
    <w:rsid w:val="000C7DD4"/>
    <w:rsid w:val="000D2150"/>
    <w:rsid w:val="000D2F6C"/>
    <w:rsid w:val="000D36A1"/>
    <w:rsid w:val="000D51CC"/>
    <w:rsid w:val="000E339E"/>
    <w:rsid w:val="000E6C5D"/>
    <w:rsid w:val="000E7A94"/>
    <w:rsid w:val="000E7DEA"/>
    <w:rsid w:val="000F0FD4"/>
    <w:rsid w:val="000F1D04"/>
    <w:rsid w:val="000F2269"/>
    <w:rsid w:val="000F30CC"/>
    <w:rsid w:val="000F409E"/>
    <w:rsid w:val="00101ACC"/>
    <w:rsid w:val="00103E28"/>
    <w:rsid w:val="00105DB5"/>
    <w:rsid w:val="001075D3"/>
    <w:rsid w:val="001075DA"/>
    <w:rsid w:val="00112083"/>
    <w:rsid w:val="00115317"/>
    <w:rsid w:val="0011647C"/>
    <w:rsid w:val="00117774"/>
    <w:rsid w:val="00120ACE"/>
    <w:rsid w:val="0012163B"/>
    <w:rsid w:val="00121BE3"/>
    <w:rsid w:val="001221F9"/>
    <w:rsid w:val="001239C6"/>
    <w:rsid w:val="00123C2C"/>
    <w:rsid w:val="001243D0"/>
    <w:rsid w:val="00126BDC"/>
    <w:rsid w:val="00127246"/>
    <w:rsid w:val="001302FA"/>
    <w:rsid w:val="001324D3"/>
    <w:rsid w:val="00133423"/>
    <w:rsid w:val="00143BD8"/>
    <w:rsid w:val="00143EE7"/>
    <w:rsid w:val="00145A82"/>
    <w:rsid w:val="00146CB1"/>
    <w:rsid w:val="00147A75"/>
    <w:rsid w:val="001501FA"/>
    <w:rsid w:val="00155B57"/>
    <w:rsid w:val="00156B54"/>
    <w:rsid w:val="001574AB"/>
    <w:rsid w:val="00163E44"/>
    <w:rsid w:val="00163F0C"/>
    <w:rsid w:val="0016488C"/>
    <w:rsid w:val="00164D10"/>
    <w:rsid w:val="00166D46"/>
    <w:rsid w:val="0017056A"/>
    <w:rsid w:val="00173476"/>
    <w:rsid w:val="00176809"/>
    <w:rsid w:val="00176C63"/>
    <w:rsid w:val="00176D61"/>
    <w:rsid w:val="0017722F"/>
    <w:rsid w:val="00177B73"/>
    <w:rsid w:val="00180AEE"/>
    <w:rsid w:val="001821E9"/>
    <w:rsid w:val="00184BCC"/>
    <w:rsid w:val="001935F0"/>
    <w:rsid w:val="00193C04"/>
    <w:rsid w:val="001955F6"/>
    <w:rsid w:val="00197447"/>
    <w:rsid w:val="001A4665"/>
    <w:rsid w:val="001A475A"/>
    <w:rsid w:val="001A4AD4"/>
    <w:rsid w:val="001A7209"/>
    <w:rsid w:val="001B0C46"/>
    <w:rsid w:val="001B162D"/>
    <w:rsid w:val="001B19FD"/>
    <w:rsid w:val="001B6026"/>
    <w:rsid w:val="001C3048"/>
    <w:rsid w:val="001C3C98"/>
    <w:rsid w:val="001C74E7"/>
    <w:rsid w:val="001C7806"/>
    <w:rsid w:val="001D0DFB"/>
    <w:rsid w:val="001D49B7"/>
    <w:rsid w:val="001E03F0"/>
    <w:rsid w:val="001E1597"/>
    <w:rsid w:val="001E426E"/>
    <w:rsid w:val="001E67DE"/>
    <w:rsid w:val="001E7999"/>
    <w:rsid w:val="001F026E"/>
    <w:rsid w:val="001F0D11"/>
    <w:rsid w:val="001F0F8E"/>
    <w:rsid w:val="001F206F"/>
    <w:rsid w:val="001F227D"/>
    <w:rsid w:val="001F591D"/>
    <w:rsid w:val="001F62B5"/>
    <w:rsid w:val="002034DD"/>
    <w:rsid w:val="00204596"/>
    <w:rsid w:val="00210E9D"/>
    <w:rsid w:val="00216198"/>
    <w:rsid w:val="0022618C"/>
    <w:rsid w:val="00227E6B"/>
    <w:rsid w:val="00230DB2"/>
    <w:rsid w:val="002321E5"/>
    <w:rsid w:val="00237E2D"/>
    <w:rsid w:val="00244097"/>
    <w:rsid w:val="00245EAC"/>
    <w:rsid w:val="002502A2"/>
    <w:rsid w:val="00250810"/>
    <w:rsid w:val="002511A1"/>
    <w:rsid w:val="00251832"/>
    <w:rsid w:val="00251E30"/>
    <w:rsid w:val="00254A2E"/>
    <w:rsid w:val="00262B45"/>
    <w:rsid w:val="00267228"/>
    <w:rsid w:val="002673AA"/>
    <w:rsid w:val="002674E6"/>
    <w:rsid w:val="00276253"/>
    <w:rsid w:val="00277310"/>
    <w:rsid w:val="002776BA"/>
    <w:rsid w:val="002778DE"/>
    <w:rsid w:val="00280969"/>
    <w:rsid w:val="00282A1F"/>
    <w:rsid w:val="00282DC8"/>
    <w:rsid w:val="002850FF"/>
    <w:rsid w:val="00285581"/>
    <w:rsid w:val="00291E21"/>
    <w:rsid w:val="00292460"/>
    <w:rsid w:val="0029636A"/>
    <w:rsid w:val="002A420A"/>
    <w:rsid w:val="002A5184"/>
    <w:rsid w:val="002B0DBE"/>
    <w:rsid w:val="002B1411"/>
    <w:rsid w:val="002B2D32"/>
    <w:rsid w:val="002B377E"/>
    <w:rsid w:val="002B452E"/>
    <w:rsid w:val="002C2D18"/>
    <w:rsid w:val="002C39B6"/>
    <w:rsid w:val="002C4339"/>
    <w:rsid w:val="002D1D21"/>
    <w:rsid w:val="002D4277"/>
    <w:rsid w:val="002D47BF"/>
    <w:rsid w:val="002D4EC4"/>
    <w:rsid w:val="002D519D"/>
    <w:rsid w:val="002E0703"/>
    <w:rsid w:val="002E15BB"/>
    <w:rsid w:val="002E5C90"/>
    <w:rsid w:val="002E7EB9"/>
    <w:rsid w:val="002F0E25"/>
    <w:rsid w:val="002F11F5"/>
    <w:rsid w:val="002F633E"/>
    <w:rsid w:val="002F6F43"/>
    <w:rsid w:val="00303BB4"/>
    <w:rsid w:val="00303E18"/>
    <w:rsid w:val="00306461"/>
    <w:rsid w:val="00307D39"/>
    <w:rsid w:val="00314488"/>
    <w:rsid w:val="0032074E"/>
    <w:rsid w:val="00321C21"/>
    <w:rsid w:val="00325307"/>
    <w:rsid w:val="003276E0"/>
    <w:rsid w:val="003278FE"/>
    <w:rsid w:val="00331AE4"/>
    <w:rsid w:val="003321B1"/>
    <w:rsid w:val="00332B4D"/>
    <w:rsid w:val="0033763D"/>
    <w:rsid w:val="003461CA"/>
    <w:rsid w:val="003522BD"/>
    <w:rsid w:val="003543C6"/>
    <w:rsid w:val="00354565"/>
    <w:rsid w:val="00355BD1"/>
    <w:rsid w:val="00357A65"/>
    <w:rsid w:val="003603D6"/>
    <w:rsid w:val="0036588D"/>
    <w:rsid w:val="00367FE0"/>
    <w:rsid w:val="00371110"/>
    <w:rsid w:val="0037338A"/>
    <w:rsid w:val="003759EF"/>
    <w:rsid w:val="00381B12"/>
    <w:rsid w:val="00381FB9"/>
    <w:rsid w:val="00392768"/>
    <w:rsid w:val="00395F60"/>
    <w:rsid w:val="00397114"/>
    <w:rsid w:val="003971F6"/>
    <w:rsid w:val="00397637"/>
    <w:rsid w:val="003A2897"/>
    <w:rsid w:val="003A37D3"/>
    <w:rsid w:val="003A50AD"/>
    <w:rsid w:val="003A581C"/>
    <w:rsid w:val="003A6DD3"/>
    <w:rsid w:val="003B1140"/>
    <w:rsid w:val="003B3232"/>
    <w:rsid w:val="003B3BB1"/>
    <w:rsid w:val="003B56A4"/>
    <w:rsid w:val="003B5F52"/>
    <w:rsid w:val="003B6664"/>
    <w:rsid w:val="003B6897"/>
    <w:rsid w:val="003C1617"/>
    <w:rsid w:val="003C1651"/>
    <w:rsid w:val="003C5CEC"/>
    <w:rsid w:val="003C7715"/>
    <w:rsid w:val="003D071F"/>
    <w:rsid w:val="003D19B9"/>
    <w:rsid w:val="003D5D95"/>
    <w:rsid w:val="003D68E4"/>
    <w:rsid w:val="003E2086"/>
    <w:rsid w:val="003E3D93"/>
    <w:rsid w:val="003E4014"/>
    <w:rsid w:val="003E43CF"/>
    <w:rsid w:val="003E53E7"/>
    <w:rsid w:val="003E6034"/>
    <w:rsid w:val="003E6D2B"/>
    <w:rsid w:val="003F0651"/>
    <w:rsid w:val="003F1627"/>
    <w:rsid w:val="003F33D3"/>
    <w:rsid w:val="003F3BC1"/>
    <w:rsid w:val="003F3DC4"/>
    <w:rsid w:val="003F7D05"/>
    <w:rsid w:val="00400B10"/>
    <w:rsid w:val="00402BEB"/>
    <w:rsid w:val="00402C39"/>
    <w:rsid w:val="00403464"/>
    <w:rsid w:val="0040374B"/>
    <w:rsid w:val="00404EE1"/>
    <w:rsid w:val="004079A4"/>
    <w:rsid w:val="004107D6"/>
    <w:rsid w:val="00411505"/>
    <w:rsid w:val="00412409"/>
    <w:rsid w:val="004136EB"/>
    <w:rsid w:val="0041386B"/>
    <w:rsid w:val="00414432"/>
    <w:rsid w:val="004158D5"/>
    <w:rsid w:val="00415A32"/>
    <w:rsid w:val="00417EE5"/>
    <w:rsid w:val="00421465"/>
    <w:rsid w:val="0042695C"/>
    <w:rsid w:val="004269BB"/>
    <w:rsid w:val="0042709D"/>
    <w:rsid w:val="004314F5"/>
    <w:rsid w:val="0043287A"/>
    <w:rsid w:val="00433768"/>
    <w:rsid w:val="004357E5"/>
    <w:rsid w:val="004375A7"/>
    <w:rsid w:val="00441908"/>
    <w:rsid w:val="00444400"/>
    <w:rsid w:val="004447BB"/>
    <w:rsid w:val="00450413"/>
    <w:rsid w:val="004505A6"/>
    <w:rsid w:val="004526EE"/>
    <w:rsid w:val="00456E26"/>
    <w:rsid w:val="004576EC"/>
    <w:rsid w:val="00457BA6"/>
    <w:rsid w:val="0046089A"/>
    <w:rsid w:val="00460E5C"/>
    <w:rsid w:val="00461B0A"/>
    <w:rsid w:val="00465342"/>
    <w:rsid w:val="00467390"/>
    <w:rsid w:val="004759F6"/>
    <w:rsid w:val="004766EF"/>
    <w:rsid w:val="0048238A"/>
    <w:rsid w:val="004843E7"/>
    <w:rsid w:val="00484ED4"/>
    <w:rsid w:val="004850F4"/>
    <w:rsid w:val="00485AAF"/>
    <w:rsid w:val="00485DCD"/>
    <w:rsid w:val="004864B1"/>
    <w:rsid w:val="004876C0"/>
    <w:rsid w:val="004A373A"/>
    <w:rsid w:val="004A4401"/>
    <w:rsid w:val="004A7591"/>
    <w:rsid w:val="004B2CF8"/>
    <w:rsid w:val="004B6CAE"/>
    <w:rsid w:val="004B7BF1"/>
    <w:rsid w:val="004C36BC"/>
    <w:rsid w:val="004C446D"/>
    <w:rsid w:val="004C7DFF"/>
    <w:rsid w:val="004D2F98"/>
    <w:rsid w:val="004D4E59"/>
    <w:rsid w:val="004D6CF5"/>
    <w:rsid w:val="004D79EF"/>
    <w:rsid w:val="004D7D11"/>
    <w:rsid w:val="004E1BE4"/>
    <w:rsid w:val="004E3014"/>
    <w:rsid w:val="004E3E87"/>
    <w:rsid w:val="004F0C1D"/>
    <w:rsid w:val="004F49F4"/>
    <w:rsid w:val="004F6475"/>
    <w:rsid w:val="004F6867"/>
    <w:rsid w:val="00501E41"/>
    <w:rsid w:val="00506811"/>
    <w:rsid w:val="00510407"/>
    <w:rsid w:val="00513655"/>
    <w:rsid w:val="00513A37"/>
    <w:rsid w:val="00513B31"/>
    <w:rsid w:val="005145A8"/>
    <w:rsid w:val="00520198"/>
    <w:rsid w:val="0052233E"/>
    <w:rsid w:val="005229BE"/>
    <w:rsid w:val="0053154C"/>
    <w:rsid w:val="00534DA8"/>
    <w:rsid w:val="00536A13"/>
    <w:rsid w:val="00536E5F"/>
    <w:rsid w:val="00537567"/>
    <w:rsid w:val="005418D8"/>
    <w:rsid w:val="00546007"/>
    <w:rsid w:val="005517A5"/>
    <w:rsid w:val="00552DF2"/>
    <w:rsid w:val="0056347A"/>
    <w:rsid w:val="00564605"/>
    <w:rsid w:val="00570584"/>
    <w:rsid w:val="00570D21"/>
    <w:rsid w:val="00570E68"/>
    <w:rsid w:val="005735A7"/>
    <w:rsid w:val="005749BA"/>
    <w:rsid w:val="0057571C"/>
    <w:rsid w:val="00575BFB"/>
    <w:rsid w:val="00580E5A"/>
    <w:rsid w:val="005813C4"/>
    <w:rsid w:val="00584B4D"/>
    <w:rsid w:val="00584F7C"/>
    <w:rsid w:val="00586854"/>
    <w:rsid w:val="00590F69"/>
    <w:rsid w:val="00591F97"/>
    <w:rsid w:val="005939A2"/>
    <w:rsid w:val="00593ED1"/>
    <w:rsid w:val="00596734"/>
    <w:rsid w:val="005A03ED"/>
    <w:rsid w:val="005A217A"/>
    <w:rsid w:val="005A3DB8"/>
    <w:rsid w:val="005A49B2"/>
    <w:rsid w:val="005A5359"/>
    <w:rsid w:val="005B2CDA"/>
    <w:rsid w:val="005B5D37"/>
    <w:rsid w:val="005B5E56"/>
    <w:rsid w:val="005C2087"/>
    <w:rsid w:val="005C53BC"/>
    <w:rsid w:val="005C647C"/>
    <w:rsid w:val="005C7706"/>
    <w:rsid w:val="005D005E"/>
    <w:rsid w:val="005D07DA"/>
    <w:rsid w:val="005D1D88"/>
    <w:rsid w:val="005D36F1"/>
    <w:rsid w:val="005D6208"/>
    <w:rsid w:val="005E2AAB"/>
    <w:rsid w:val="005E2E62"/>
    <w:rsid w:val="005E6F67"/>
    <w:rsid w:val="005F1219"/>
    <w:rsid w:val="005F17C0"/>
    <w:rsid w:val="005F3D23"/>
    <w:rsid w:val="0060151D"/>
    <w:rsid w:val="00601BC1"/>
    <w:rsid w:val="00602A7B"/>
    <w:rsid w:val="006035BB"/>
    <w:rsid w:val="00603C78"/>
    <w:rsid w:val="006063A0"/>
    <w:rsid w:val="006063D3"/>
    <w:rsid w:val="0061051C"/>
    <w:rsid w:val="00610DD8"/>
    <w:rsid w:val="0061406F"/>
    <w:rsid w:val="00621555"/>
    <w:rsid w:val="00622226"/>
    <w:rsid w:val="00623FB7"/>
    <w:rsid w:val="006248C5"/>
    <w:rsid w:val="00625306"/>
    <w:rsid w:val="0063131D"/>
    <w:rsid w:val="006320A7"/>
    <w:rsid w:val="0063279B"/>
    <w:rsid w:val="006353AC"/>
    <w:rsid w:val="00637237"/>
    <w:rsid w:val="006411F3"/>
    <w:rsid w:val="00646DA1"/>
    <w:rsid w:val="00654432"/>
    <w:rsid w:val="006567CF"/>
    <w:rsid w:val="00657121"/>
    <w:rsid w:val="00657231"/>
    <w:rsid w:val="00661E20"/>
    <w:rsid w:val="00664210"/>
    <w:rsid w:val="00667614"/>
    <w:rsid w:val="006726EB"/>
    <w:rsid w:val="00673DD2"/>
    <w:rsid w:val="006807F0"/>
    <w:rsid w:val="006821D0"/>
    <w:rsid w:val="006834D5"/>
    <w:rsid w:val="006835EF"/>
    <w:rsid w:val="00685FA7"/>
    <w:rsid w:val="00686ED2"/>
    <w:rsid w:val="00696628"/>
    <w:rsid w:val="006A0EBC"/>
    <w:rsid w:val="006A1BA8"/>
    <w:rsid w:val="006A2181"/>
    <w:rsid w:val="006A567C"/>
    <w:rsid w:val="006B2B0E"/>
    <w:rsid w:val="006C1E68"/>
    <w:rsid w:val="006C660D"/>
    <w:rsid w:val="006D4A72"/>
    <w:rsid w:val="006D4DA5"/>
    <w:rsid w:val="006E2226"/>
    <w:rsid w:val="006E2801"/>
    <w:rsid w:val="006E2E7E"/>
    <w:rsid w:val="006E71CA"/>
    <w:rsid w:val="006F1FC1"/>
    <w:rsid w:val="006F5FB6"/>
    <w:rsid w:val="006F6CBB"/>
    <w:rsid w:val="007006CE"/>
    <w:rsid w:val="00700B3D"/>
    <w:rsid w:val="00704469"/>
    <w:rsid w:val="00704EEE"/>
    <w:rsid w:val="0070614D"/>
    <w:rsid w:val="00711647"/>
    <w:rsid w:val="0071500F"/>
    <w:rsid w:val="007158BB"/>
    <w:rsid w:val="0071700C"/>
    <w:rsid w:val="007210DD"/>
    <w:rsid w:val="0072610B"/>
    <w:rsid w:val="00727AF1"/>
    <w:rsid w:val="00732E74"/>
    <w:rsid w:val="00733CB6"/>
    <w:rsid w:val="007365C9"/>
    <w:rsid w:val="00740F5E"/>
    <w:rsid w:val="0074549A"/>
    <w:rsid w:val="00752076"/>
    <w:rsid w:val="00752B3A"/>
    <w:rsid w:val="00753E14"/>
    <w:rsid w:val="00756F4E"/>
    <w:rsid w:val="007603DF"/>
    <w:rsid w:val="00762BF9"/>
    <w:rsid w:val="0076425F"/>
    <w:rsid w:val="00767762"/>
    <w:rsid w:val="007706F5"/>
    <w:rsid w:val="00770704"/>
    <w:rsid w:val="0077415B"/>
    <w:rsid w:val="0077685D"/>
    <w:rsid w:val="00777180"/>
    <w:rsid w:val="00786356"/>
    <w:rsid w:val="00786EF8"/>
    <w:rsid w:val="00787E95"/>
    <w:rsid w:val="0079058A"/>
    <w:rsid w:val="007907DB"/>
    <w:rsid w:val="007951E6"/>
    <w:rsid w:val="007A6319"/>
    <w:rsid w:val="007A6B38"/>
    <w:rsid w:val="007A7670"/>
    <w:rsid w:val="007B089C"/>
    <w:rsid w:val="007B36B8"/>
    <w:rsid w:val="007B54A6"/>
    <w:rsid w:val="007B5B16"/>
    <w:rsid w:val="007B6114"/>
    <w:rsid w:val="007B670C"/>
    <w:rsid w:val="007C11F9"/>
    <w:rsid w:val="007C222F"/>
    <w:rsid w:val="007C44AF"/>
    <w:rsid w:val="007C7FBC"/>
    <w:rsid w:val="007D1211"/>
    <w:rsid w:val="007D29CE"/>
    <w:rsid w:val="007D3127"/>
    <w:rsid w:val="007D369C"/>
    <w:rsid w:val="007D5A96"/>
    <w:rsid w:val="007D7B02"/>
    <w:rsid w:val="007E2B98"/>
    <w:rsid w:val="007E3757"/>
    <w:rsid w:val="007E455A"/>
    <w:rsid w:val="007E63C1"/>
    <w:rsid w:val="007E67A2"/>
    <w:rsid w:val="007F0989"/>
    <w:rsid w:val="007F322C"/>
    <w:rsid w:val="007F78C0"/>
    <w:rsid w:val="00801342"/>
    <w:rsid w:val="00807050"/>
    <w:rsid w:val="00810255"/>
    <w:rsid w:val="00812C3B"/>
    <w:rsid w:val="00822041"/>
    <w:rsid w:val="00822070"/>
    <w:rsid w:val="0082243F"/>
    <w:rsid w:val="008258BB"/>
    <w:rsid w:val="00831AA9"/>
    <w:rsid w:val="008325D9"/>
    <w:rsid w:val="0083299A"/>
    <w:rsid w:val="00840C29"/>
    <w:rsid w:val="00843040"/>
    <w:rsid w:val="008458E3"/>
    <w:rsid w:val="00850EFC"/>
    <w:rsid w:val="008518B5"/>
    <w:rsid w:val="00856DC4"/>
    <w:rsid w:val="0086052E"/>
    <w:rsid w:val="0086083C"/>
    <w:rsid w:val="00860A83"/>
    <w:rsid w:val="0086283E"/>
    <w:rsid w:val="008644D2"/>
    <w:rsid w:val="00865057"/>
    <w:rsid w:val="0086538D"/>
    <w:rsid w:val="00865E7E"/>
    <w:rsid w:val="00873FF3"/>
    <w:rsid w:val="008752CF"/>
    <w:rsid w:val="0087743E"/>
    <w:rsid w:val="00882CD1"/>
    <w:rsid w:val="00883698"/>
    <w:rsid w:val="00892E11"/>
    <w:rsid w:val="00893805"/>
    <w:rsid w:val="00893B10"/>
    <w:rsid w:val="008976AE"/>
    <w:rsid w:val="008A3581"/>
    <w:rsid w:val="008B1D4F"/>
    <w:rsid w:val="008B26B0"/>
    <w:rsid w:val="008B3074"/>
    <w:rsid w:val="008B6183"/>
    <w:rsid w:val="008C1A05"/>
    <w:rsid w:val="008C1E4C"/>
    <w:rsid w:val="008C231B"/>
    <w:rsid w:val="008C3011"/>
    <w:rsid w:val="008C3E46"/>
    <w:rsid w:val="008C48F6"/>
    <w:rsid w:val="008C5DA3"/>
    <w:rsid w:val="008D3FB3"/>
    <w:rsid w:val="008D45EB"/>
    <w:rsid w:val="008D4887"/>
    <w:rsid w:val="008D5A6A"/>
    <w:rsid w:val="008E6E5E"/>
    <w:rsid w:val="008F0BAA"/>
    <w:rsid w:val="008F2205"/>
    <w:rsid w:val="008F3590"/>
    <w:rsid w:val="008F3707"/>
    <w:rsid w:val="008F38BE"/>
    <w:rsid w:val="008F42FC"/>
    <w:rsid w:val="008F7C58"/>
    <w:rsid w:val="009035B4"/>
    <w:rsid w:val="00903E0C"/>
    <w:rsid w:val="00904982"/>
    <w:rsid w:val="00905648"/>
    <w:rsid w:val="00907B16"/>
    <w:rsid w:val="009106FA"/>
    <w:rsid w:val="0091229B"/>
    <w:rsid w:val="00912503"/>
    <w:rsid w:val="00912B10"/>
    <w:rsid w:val="00913725"/>
    <w:rsid w:val="00914188"/>
    <w:rsid w:val="009151C6"/>
    <w:rsid w:val="00920557"/>
    <w:rsid w:val="00925611"/>
    <w:rsid w:val="00925B36"/>
    <w:rsid w:val="0092646D"/>
    <w:rsid w:val="00930271"/>
    <w:rsid w:val="00932807"/>
    <w:rsid w:val="00932A83"/>
    <w:rsid w:val="009330FA"/>
    <w:rsid w:val="0093541D"/>
    <w:rsid w:val="00936374"/>
    <w:rsid w:val="009364AF"/>
    <w:rsid w:val="009370E3"/>
    <w:rsid w:val="00940A8F"/>
    <w:rsid w:val="009418EB"/>
    <w:rsid w:val="009441FB"/>
    <w:rsid w:val="009449C8"/>
    <w:rsid w:val="00944D46"/>
    <w:rsid w:val="00945373"/>
    <w:rsid w:val="00945E9C"/>
    <w:rsid w:val="00946218"/>
    <w:rsid w:val="00953DC7"/>
    <w:rsid w:val="00954274"/>
    <w:rsid w:val="009564D9"/>
    <w:rsid w:val="009565BF"/>
    <w:rsid w:val="00956F80"/>
    <w:rsid w:val="009579BE"/>
    <w:rsid w:val="0096422D"/>
    <w:rsid w:val="0096644E"/>
    <w:rsid w:val="00972D90"/>
    <w:rsid w:val="00982FD3"/>
    <w:rsid w:val="0098316A"/>
    <w:rsid w:val="00983848"/>
    <w:rsid w:val="00984537"/>
    <w:rsid w:val="00984737"/>
    <w:rsid w:val="009853A6"/>
    <w:rsid w:val="00986DCC"/>
    <w:rsid w:val="00990C3F"/>
    <w:rsid w:val="009917F7"/>
    <w:rsid w:val="00991D9E"/>
    <w:rsid w:val="00994C7C"/>
    <w:rsid w:val="00996C81"/>
    <w:rsid w:val="0099706F"/>
    <w:rsid w:val="009A231C"/>
    <w:rsid w:val="009A2E64"/>
    <w:rsid w:val="009A33BC"/>
    <w:rsid w:val="009A41CB"/>
    <w:rsid w:val="009A6238"/>
    <w:rsid w:val="009A661A"/>
    <w:rsid w:val="009B090C"/>
    <w:rsid w:val="009B1D4D"/>
    <w:rsid w:val="009B57E1"/>
    <w:rsid w:val="009C1E4B"/>
    <w:rsid w:val="009C3D76"/>
    <w:rsid w:val="009C62F4"/>
    <w:rsid w:val="009D0CAA"/>
    <w:rsid w:val="009D3DA5"/>
    <w:rsid w:val="009D4E38"/>
    <w:rsid w:val="009E1CB6"/>
    <w:rsid w:val="009E2675"/>
    <w:rsid w:val="009E6575"/>
    <w:rsid w:val="009F0763"/>
    <w:rsid w:val="009F5DD2"/>
    <w:rsid w:val="009F5F2E"/>
    <w:rsid w:val="009F7585"/>
    <w:rsid w:val="00A002F8"/>
    <w:rsid w:val="00A02009"/>
    <w:rsid w:val="00A060F8"/>
    <w:rsid w:val="00A06B8C"/>
    <w:rsid w:val="00A10213"/>
    <w:rsid w:val="00A27D99"/>
    <w:rsid w:val="00A33DBD"/>
    <w:rsid w:val="00A353D2"/>
    <w:rsid w:val="00A35726"/>
    <w:rsid w:val="00A37EB0"/>
    <w:rsid w:val="00A41910"/>
    <w:rsid w:val="00A4564C"/>
    <w:rsid w:val="00A46838"/>
    <w:rsid w:val="00A468A5"/>
    <w:rsid w:val="00A524D6"/>
    <w:rsid w:val="00A52A46"/>
    <w:rsid w:val="00A53CC0"/>
    <w:rsid w:val="00A53CC8"/>
    <w:rsid w:val="00A563F8"/>
    <w:rsid w:val="00A62EF8"/>
    <w:rsid w:val="00A64DA8"/>
    <w:rsid w:val="00A71870"/>
    <w:rsid w:val="00A7308D"/>
    <w:rsid w:val="00A73138"/>
    <w:rsid w:val="00A73C20"/>
    <w:rsid w:val="00A80E73"/>
    <w:rsid w:val="00A858DE"/>
    <w:rsid w:val="00A8663C"/>
    <w:rsid w:val="00A906B1"/>
    <w:rsid w:val="00A922FA"/>
    <w:rsid w:val="00A97AFD"/>
    <w:rsid w:val="00A97CCD"/>
    <w:rsid w:val="00AA07B0"/>
    <w:rsid w:val="00AA561B"/>
    <w:rsid w:val="00AA7A4F"/>
    <w:rsid w:val="00AB4D26"/>
    <w:rsid w:val="00AB5244"/>
    <w:rsid w:val="00AB61B6"/>
    <w:rsid w:val="00AB722A"/>
    <w:rsid w:val="00AC04BF"/>
    <w:rsid w:val="00AC0D97"/>
    <w:rsid w:val="00AC4D94"/>
    <w:rsid w:val="00AC5003"/>
    <w:rsid w:val="00AC5544"/>
    <w:rsid w:val="00AD723D"/>
    <w:rsid w:val="00AE3452"/>
    <w:rsid w:val="00AE5BA3"/>
    <w:rsid w:val="00AE5C02"/>
    <w:rsid w:val="00AF1892"/>
    <w:rsid w:val="00AF2FCA"/>
    <w:rsid w:val="00AF66CE"/>
    <w:rsid w:val="00AF732F"/>
    <w:rsid w:val="00B051C6"/>
    <w:rsid w:val="00B05298"/>
    <w:rsid w:val="00B054E8"/>
    <w:rsid w:val="00B06627"/>
    <w:rsid w:val="00B06BBB"/>
    <w:rsid w:val="00B1104B"/>
    <w:rsid w:val="00B13AF0"/>
    <w:rsid w:val="00B1749D"/>
    <w:rsid w:val="00B17D0F"/>
    <w:rsid w:val="00B22F7F"/>
    <w:rsid w:val="00B25317"/>
    <w:rsid w:val="00B26B2F"/>
    <w:rsid w:val="00B31DBB"/>
    <w:rsid w:val="00B345B1"/>
    <w:rsid w:val="00B34CF8"/>
    <w:rsid w:val="00B40CBA"/>
    <w:rsid w:val="00B41142"/>
    <w:rsid w:val="00B411FE"/>
    <w:rsid w:val="00B43A91"/>
    <w:rsid w:val="00B43CFE"/>
    <w:rsid w:val="00B5246C"/>
    <w:rsid w:val="00B56405"/>
    <w:rsid w:val="00B568FD"/>
    <w:rsid w:val="00B57D77"/>
    <w:rsid w:val="00B605F5"/>
    <w:rsid w:val="00B610B3"/>
    <w:rsid w:val="00B6202D"/>
    <w:rsid w:val="00B62A97"/>
    <w:rsid w:val="00B64DAB"/>
    <w:rsid w:val="00B66919"/>
    <w:rsid w:val="00B76EE8"/>
    <w:rsid w:val="00B819D9"/>
    <w:rsid w:val="00B82CB6"/>
    <w:rsid w:val="00B83ABA"/>
    <w:rsid w:val="00B87206"/>
    <w:rsid w:val="00B874B5"/>
    <w:rsid w:val="00B878AC"/>
    <w:rsid w:val="00B911AE"/>
    <w:rsid w:val="00B928C6"/>
    <w:rsid w:val="00BA0EE2"/>
    <w:rsid w:val="00BA62C0"/>
    <w:rsid w:val="00BA62F9"/>
    <w:rsid w:val="00BB6387"/>
    <w:rsid w:val="00BB6C48"/>
    <w:rsid w:val="00BC0729"/>
    <w:rsid w:val="00BC0FB6"/>
    <w:rsid w:val="00BC35DC"/>
    <w:rsid w:val="00BC7B39"/>
    <w:rsid w:val="00BD3DDF"/>
    <w:rsid w:val="00BD6532"/>
    <w:rsid w:val="00BD7B2F"/>
    <w:rsid w:val="00BE05AA"/>
    <w:rsid w:val="00BE5522"/>
    <w:rsid w:val="00BF00C7"/>
    <w:rsid w:val="00BF0107"/>
    <w:rsid w:val="00BF0117"/>
    <w:rsid w:val="00BF046D"/>
    <w:rsid w:val="00BF15C8"/>
    <w:rsid w:val="00BF1CD1"/>
    <w:rsid w:val="00BF3231"/>
    <w:rsid w:val="00BF4584"/>
    <w:rsid w:val="00BF4CF7"/>
    <w:rsid w:val="00C107CA"/>
    <w:rsid w:val="00C1088A"/>
    <w:rsid w:val="00C154C1"/>
    <w:rsid w:val="00C15796"/>
    <w:rsid w:val="00C20287"/>
    <w:rsid w:val="00C21600"/>
    <w:rsid w:val="00C25351"/>
    <w:rsid w:val="00C256EE"/>
    <w:rsid w:val="00C27C95"/>
    <w:rsid w:val="00C27E2A"/>
    <w:rsid w:val="00C31ADB"/>
    <w:rsid w:val="00C36198"/>
    <w:rsid w:val="00C4118C"/>
    <w:rsid w:val="00C448E4"/>
    <w:rsid w:val="00C45922"/>
    <w:rsid w:val="00C45B21"/>
    <w:rsid w:val="00C466DF"/>
    <w:rsid w:val="00C46E3A"/>
    <w:rsid w:val="00C46EC3"/>
    <w:rsid w:val="00C47824"/>
    <w:rsid w:val="00C50D39"/>
    <w:rsid w:val="00C50EF0"/>
    <w:rsid w:val="00C52EE7"/>
    <w:rsid w:val="00C537CB"/>
    <w:rsid w:val="00C55F8B"/>
    <w:rsid w:val="00C568B4"/>
    <w:rsid w:val="00C57B76"/>
    <w:rsid w:val="00C60C07"/>
    <w:rsid w:val="00C66D6E"/>
    <w:rsid w:val="00C679F7"/>
    <w:rsid w:val="00C73651"/>
    <w:rsid w:val="00C7415D"/>
    <w:rsid w:val="00C744CD"/>
    <w:rsid w:val="00C74E25"/>
    <w:rsid w:val="00C77165"/>
    <w:rsid w:val="00C8295B"/>
    <w:rsid w:val="00C85969"/>
    <w:rsid w:val="00C90B9E"/>
    <w:rsid w:val="00C92D0A"/>
    <w:rsid w:val="00C95A01"/>
    <w:rsid w:val="00C963DD"/>
    <w:rsid w:val="00CA2D78"/>
    <w:rsid w:val="00CA59E6"/>
    <w:rsid w:val="00CA5BDC"/>
    <w:rsid w:val="00CB0EF6"/>
    <w:rsid w:val="00CB346A"/>
    <w:rsid w:val="00CB5AEF"/>
    <w:rsid w:val="00CB63A0"/>
    <w:rsid w:val="00CB77BE"/>
    <w:rsid w:val="00CC6690"/>
    <w:rsid w:val="00CC7525"/>
    <w:rsid w:val="00CD14D7"/>
    <w:rsid w:val="00CD224A"/>
    <w:rsid w:val="00CD2BA3"/>
    <w:rsid w:val="00CD5A2C"/>
    <w:rsid w:val="00CD5DF1"/>
    <w:rsid w:val="00CE3375"/>
    <w:rsid w:val="00CE60B4"/>
    <w:rsid w:val="00CF2D63"/>
    <w:rsid w:val="00CF5BBA"/>
    <w:rsid w:val="00CF73A2"/>
    <w:rsid w:val="00D01466"/>
    <w:rsid w:val="00D02F34"/>
    <w:rsid w:val="00D042DB"/>
    <w:rsid w:val="00D053A9"/>
    <w:rsid w:val="00D1085B"/>
    <w:rsid w:val="00D118E7"/>
    <w:rsid w:val="00D2496E"/>
    <w:rsid w:val="00D24A24"/>
    <w:rsid w:val="00D30F83"/>
    <w:rsid w:val="00D318DD"/>
    <w:rsid w:val="00D35E98"/>
    <w:rsid w:val="00D4065C"/>
    <w:rsid w:val="00D45613"/>
    <w:rsid w:val="00D52C5F"/>
    <w:rsid w:val="00D53245"/>
    <w:rsid w:val="00D54D90"/>
    <w:rsid w:val="00D553F0"/>
    <w:rsid w:val="00D560D1"/>
    <w:rsid w:val="00D62043"/>
    <w:rsid w:val="00D75824"/>
    <w:rsid w:val="00D81E51"/>
    <w:rsid w:val="00D84756"/>
    <w:rsid w:val="00D96D91"/>
    <w:rsid w:val="00DA0711"/>
    <w:rsid w:val="00DA4699"/>
    <w:rsid w:val="00DA75EC"/>
    <w:rsid w:val="00DB360D"/>
    <w:rsid w:val="00DB4811"/>
    <w:rsid w:val="00DB49C7"/>
    <w:rsid w:val="00DB6457"/>
    <w:rsid w:val="00DB6DA9"/>
    <w:rsid w:val="00DC6BAF"/>
    <w:rsid w:val="00DD1203"/>
    <w:rsid w:val="00DD1D7A"/>
    <w:rsid w:val="00DD3084"/>
    <w:rsid w:val="00DD425C"/>
    <w:rsid w:val="00DD79DC"/>
    <w:rsid w:val="00DE0018"/>
    <w:rsid w:val="00DE039A"/>
    <w:rsid w:val="00DE0C51"/>
    <w:rsid w:val="00DE184A"/>
    <w:rsid w:val="00DE20EA"/>
    <w:rsid w:val="00DE2B4C"/>
    <w:rsid w:val="00DE2CF6"/>
    <w:rsid w:val="00DE2F18"/>
    <w:rsid w:val="00DE402E"/>
    <w:rsid w:val="00DE533F"/>
    <w:rsid w:val="00DE7FB3"/>
    <w:rsid w:val="00DF0554"/>
    <w:rsid w:val="00DF1008"/>
    <w:rsid w:val="00DF3771"/>
    <w:rsid w:val="00DF3DF4"/>
    <w:rsid w:val="00DF4517"/>
    <w:rsid w:val="00E0169E"/>
    <w:rsid w:val="00E039B6"/>
    <w:rsid w:val="00E12CEC"/>
    <w:rsid w:val="00E134EA"/>
    <w:rsid w:val="00E13A61"/>
    <w:rsid w:val="00E15F45"/>
    <w:rsid w:val="00E24788"/>
    <w:rsid w:val="00E24A8D"/>
    <w:rsid w:val="00E24F4B"/>
    <w:rsid w:val="00E252B4"/>
    <w:rsid w:val="00E25A46"/>
    <w:rsid w:val="00E26792"/>
    <w:rsid w:val="00E34C9E"/>
    <w:rsid w:val="00E3522E"/>
    <w:rsid w:val="00E35851"/>
    <w:rsid w:val="00E407EA"/>
    <w:rsid w:val="00E472B0"/>
    <w:rsid w:val="00E4730B"/>
    <w:rsid w:val="00E475AF"/>
    <w:rsid w:val="00E520DE"/>
    <w:rsid w:val="00E5312D"/>
    <w:rsid w:val="00E56698"/>
    <w:rsid w:val="00E60A6A"/>
    <w:rsid w:val="00E62A21"/>
    <w:rsid w:val="00E66003"/>
    <w:rsid w:val="00E72150"/>
    <w:rsid w:val="00E844CD"/>
    <w:rsid w:val="00E94EF3"/>
    <w:rsid w:val="00E95634"/>
    <w:rsid w:val="00E95E43"/>
    <w:rsid w:val="00EA48AF"/>
    <w:rsid w:val="00EB000E"/>
    <w:rsid w:val="00EB20F6"/>
    <w:rsid w:val="00EB5C56"/>
    <w:rsid w:val="00EC1F24"/>
    <w:rsid w:val="00EC2485"/>
    <w:rsid w:val="00EC270D"/>
    <w:rsid w:val="00EC63A6"/>
    <w:rsid w:val="00EC6D46"/>
    <w:rsid w:val="00ED2D36"/>
    <w:rsid w:val="00EE027C"/>
    <w:rsid w:val="00EE2538"/>
    <w:rsid w:val="00EF53A9"/>
    <w:rsid w:val="00EF5B7A"/>
    <w:rsid w:val="00EF741D"/>
    <w:rsid w:val="00F01AEE"/>
    <w:rsid w:val="00F01BDA"/>
    <w:rsid w:val="00F01DAF"/>
    <w:rsid w:val="00F05BC3"/>
    <w:rsid w:val="00F0665F"/>
    <w:rsid w:val="00F11D28"/>
    <w:rsid w:val="00F14560"/>
    <w:rsid w:val="00F14AB7"/>
    <w:rsid w:val="00F26316"/>
    <w:rsid w:val="00F26AD3"/>
    <w:rsid w:val="00F30FCE"/>
    <w:rsid w:val="00F323D0"/>
    <w:rsid w:val="00F33A71"/>
    <w:rsid w:val="00F3420D"/>
    <w:rsid w:val="00F35966"/>
    <w:rsid w:val="00F40662"/>
    <w:rsid w:val="00F429C9"/>
    <w:rsid w:val="00F43F6F"/>
    <w:rsid w:val="00F55DEB"/>
    <w:rsid w:val="00F57533"/>
    <w:rsid w:val="00F66278"/>
    <w:rsid w:val="00F67466"/>
    <w:rsid w:val="00F679A1"/>
    <w:rsid w:val="00F70D8D"/>
    <w:rsid w:val="00F72A8E"/>
    <w:rsid w:val="00F764B3"/>
    <w:rsid w:val="00F8460C"/>
    <w:rsid w:val="00F85CE6"/>
    <w:rsid w:val="00F86A86"/>
    <w:rsid w:val="00F91110"/>
    <w:rsid w:val="00F9211B"/>
    <w:rsid w:val="00F93E0E"/>
    <w:rsid w:val="00F94FA5"/>
    <w:rsid w:val="00F979BC"/>
    <w:rsid w:val="00FA40D9"/>
    <w:rsid w:val="00FA4450"/>
    <w:rsid w:val="00FA644A"/>
    <w:rsid w:val="00FB1557"/>
    <w:rsid w:val="00FB3052"/>
    <w:rsid w:val="00FB3A8F"/>
    <w:rsid w:val="00FB4752"/>
    <w:rsid w:val="00FB48D5"/>
    <w:rsid w:val="00FB4E05"/>
    <w:rsid w:val="00FB4EED"/>
    <w:rsid w:val="00FB7424"/>
    <w:rsid w:val="00FC0F65"/>
    <w:rsid w:val="00FC2F6D"/>
    <w:rsid w:val="00FC5C2F"/>
    <w:rsid w:val="00FC6729"/>
    <w:rsid w:val="00FC69F9"/>
    <w:rsid w:val="00FC7295"/>
    <w:rsid w:val="00FD07B6"/>
    <w:rsid w:val="00FD13A9"/>
    <w:rsid w:val="00FD6216"/>
    <w:rsid w:val="00FE41B7"/>
    <w:rsid w:val="00FE554F"/>
    <w:rsid w:val="00FF2B2F"/>
    <w:rsid w:val="00FF35BE"/>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E02A274-B1F7-4BC7-BEDD-6018E051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75"/>
    <w:rPr>
      <w:sz w:val="24"/>
      <w:szCs w:val="24"/>
    </w:rPr>
  </w:style>
  <w:style w:type="paragraph" w:styleId="Heading1">
    <w:name w:val="heading 1"/>
    <w:basedOn w:val="Normal"/>
    <w:next w:val="Normal"/>
    <w:link w:val="Heading1Char"/>
    <w:uiPriority w:val="9"/>
    <w:qFormat/>
    <w:rsid w:val="007D29CE"/>
    <w:pPr>
      <w:keepNext/>
      <w:keepLines/>
      <w:spacing w:before="480"/>
      <w:outlineLvl w:val="0"/>
    </w:pPr>
    <w:rPr>
      <w:rFonts w:ascii="Arial" w:hAnsi="Arial"/>
      <w:b/>
      <w:bCs/>
      <w:color w:val="A5A5A5"/>
      <w:sz w:val="28"/>
      <w:szCs w:val="28"/>
    </w:rPr>
  </w:style>
  <w:style w:type="paragraph" w:styleId="Heading2">
    <w:name w:val="heading 2"/>
    <w:basedOn w:val="Normal"/>
    <w:next w:val="Normal"/>
    <w:link w:val="Heading2Char"/>
    <w:uiPriority w:val="9"/>
    <w:qFormat/>
    <w:rsid w:val="007D29CE"/>
    <w:pPr>
      <w:keepNext/>
      <w:keepLines/>
      <w:spacing w:before="200"/>
      <w:outlineLvl w:val="1"/>
    </w:pPr>
    <w:rPr>
      <w:rFonts w:ascii="Arial" w:hAnsi="Arial"/>
      <w:b/>
      <w:bCs/>
      <w:color w:val="DDDDD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CE"/>
    <w:rPr>
      <w:rFonts w:ascii="Arial" w:eastAsia="Times New Roman" w:hAnsi="Arial" w:cs="Times New Roman"/>
      <w:b/>
      <w:bCs/>
      <w:color w:val="A5A5A5"/>
      <w:sz w:val="28"/>
      <w:szCs w:val="28"/>
    </w:rPr>
  </w:style>
  <w:style w:type="character" w:customStyle="1" w:styleId="Heading2Char">
    <w:name w:val="Heading 2 Char"/>
    <w:basedOn w:val="DefaultParagraphFont"/>
    <w:link w:val="Heading2"/>
    <w:uiPriority w:val="9"/>
    <w:rsid w:val="007D29CE"/>
    <w:rPr>
      <w:rFonts w:ascii="Arial" w:eastAsia="Times New Roman" w:hAnsi="Arial" w:cs="Times New Roman"/>
      <w:b/>
      <w:bCs/>
      <w:color w:val="DDDDDD"/>
      <w:sz w:val="26"/>
      <w:szCs w:val="26"/>
    </w:rPr>
  </w:style>
  <w:style w:type="paragraph" w:styleId="ListParagraph">
    <w:name w:val="List Paragraph"/>
    <w:basedOn w:val="Normal"/>
    <w:uiPriority w:val="34"/>
    <w:qFormat/>
    <w:rsid w:val="00AE5C02"/>
    <w:pPr>
      <w:ind w:left="720"/>
      <w:contextualSpacing/>
    </w:pPr>
  </w:style>
  <w:style w:type="character" w:styleId="Hyperlink">
    <w:name w:val="Hyperlink"/>
    <w:basedOn w:val="DefaultParagraphFont"/>
    <w:uiPriority w:val="99"/>
    <w:unhideWhenUsed/>
    <w:rsid w:val="00AE5C02"/>
    <w:rPr>
      <w:color w:val="5F5F5F"/>
      <w:u w:val="single"/>
    </w:rPr>
  </w:style>
  <w:style w:type="paragraph" w:styleId="BalloonText">
    <w:name w:val="Balloon Text"/>
    <w:basedOn w:val="Normal"/>
    <w:link w:val="BalloonTextChar"/>
    <w:uiPriority w:val="99"/>
    <w:semiHidden/>
    <w:unhideWhenUsed/>
    <w:rsid w:val="00146CB1"/>
    <w:rPr>
      <w:rFonts w:ascii="Tahoma" w:hAnsi="Tahoma" w:cs="Tahoma"/>
      <w:sz w:val="16"/>
      <w:szCs w:val="16"/>
    </w:rPr>
  </w:style>
  <w:style w:type="character" w:customStyle="1" w:styleId="BalloonTextChar">
    <w:name w:val="Balloon Text Char"/>
    <w:basedOn w:val="DefaultParagraphFont"/>
    <w:link w:val="BalloonText"/>
    <w:uiPriority w:val="99"/>
    <w:semiHidden/>
    <w:rsid w:val="00146CB1"/>
    <w:rPr>
      <w:rFonts w:ascii="Tahoma" w:hAnsi="Tahoma" w:cs="Tahoma"/>
      <w:sz w:val="16"/>
      <w:szCs w:val="16"/>
    </w:rPr>
  </w:style>
  <w:style w:type="character" w:styleId="PlaceholderText">
    <w:name w:val="Placeholder Text"/>
    <w:basedOn w:val="DefaultParagraphFont"/>
    <w:uiPriority w:val="99"/>
    <w:semiHidden/>
    <w:rsid w:val="00146CB1"/>
    <w:rPr>
      <w:color w:val="808080"/>
    </w:rPr>
  </w:style>
  <w:style w:type="paragraph" w:styleId="FootnoteText">
    <w:name w:val="footnote text"/>
    <w:basedOn w:val="Normal"/>
    <w:semiHidden/>
    <w:rsid w:val="000F1D04"/>
    <w:rPr>
      <w:sz w:val="20"/>
      <w:szCs w:val="20"/>
    </w:rPr>
  </w:style>
  <w:style w:type="character" w:styleId="FootnoteReference">
    <w:name w:val="footnote reference"/>
    <w:basedOn w:val="DefaultParagraphFont"/>
    <w:semiHidden/>
    <w:rsid w:val="000F1D04"/>
    <w:rPr>
      <w:vertAlign w:val="superscript"/>
    </w:rPr>
  </w:style>
  <w:style w:type="table" w:styleId="TableGrid">
    <w:name w:val="Table Grid"/>
    <w:basedOn w:val="TableNormal"/>
    <w:rsid w:val="009D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3A6"/>
    <w:pPr>
      <w:tabs>
        <w:tab w:val="center" w:pos="4320"/>
        <w:tab w:val="right" w:pos="8640"/>
      </w:tabs>
    </w:pPr>
  </w:style>
  <w:style w:type="character" w:styleId="PageNumber">
    <w:name w:val="page number"/>
    <w:basedOn w:val="DefaultParagraphFont"/>
    <w:rsid w:val="009853A6"/>
  </w:style>
  <w:style w:type="paragraph" w:styleId="NormalWeb">
    <w:name w:val="Normal (Web)"/>
    <w:basedOn w:val="Normal"/>
    <w:rsid w:val="003D071F"/>
    <w:pPr>
      <w:spacing w:before="100" w:beforeAutospacing="1" w:after="100" w:afterAutospacing="1"/>
    </w:pPr>
  </w:style>
  <w:style w:type="paragraph" w:styleId="Footer">
    <w:name w:val="footer"/>
    <w:basedOn w:val="Normal"/>
    <w:rsid w:val="005D62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516">
      <w:bodyDiv w:val="1"/>
      <w:marLeft w:val="0"/>
      <w:marRight w:val="0"/>
      <w:marTop w:val="0"/>
      <w:marBottom w:val="0"/>
      <w:divBdr>
        <w:top w:val="none" w:sz="0" w:space="0" w:color="auto"/>
        <w:left w:val="none" w:sz="0" w:space="0" w:color="auto"/>
        <w:bottom w:val="none" w:sz="0" w:space="0" w:color="auto"/>
        <w:right w:val="none" w:sz="0" w:space="0" w:color="auto"/>
      </w:divBdr>
    </w:div>
    <w:div w:id="73356610">
      <w:bodyDiv w:val="1"/>
      <w:marLeft w:val="0"/>
      <w:marRight w:val="0"/>
      <w:marTop w:val="0"/>
      <w:marBottom w:val="0"/>
      <w:divBdr>
        <w:top w:val="none" w:sz="0" w:space="0" w:color="auto"/>
        <w:left w:val="none" w:sz="0" w:space="0" w:color="auto"/>
        <w:bottom w:val="none" w:sz="0" w:space="0" w:color="auto"/>
        <w:right w:val="none" w:sz="0" w:space="0" w:color="auto"/>
      </w:divBdr>
    </w:div>
    <w:div w:id="104615066">
      <w:bodyDiv w:val="1"/>
      <w:marLeft w:val="0"/>
      <w:marRight w:val="0"/>
      <w:marTop w:val="0"/>
      <w:marBottom w:val="0"/>
      <w:divBdr>
        <w:top w:val="none" w:sz="0" w:space="0" w:color="auto"/>
        <w:left w:val="none" w:sz="0" w:space="0" w:color="auto"/>
        <w:bottom w:val="none" w:sz="0" w:space="0" w:color="auto"/>
        <w:right w:val="none" w:sz="0" w:space="0" w:color="auto"/>
      </w:divBdr>
    </w:div>
    <w:div w:id="128714906">
      <w:bodyDiv w:val="1"/>
      <w:marLeft w:val="0"/>
      <w:marRight w:val="0"/>
      <w:marTop w:val="0"/>
      <w:marBottom w:val="0"/>
      <w:divBdr>
        <w:top w:val="none" w:sz="0" w:space="0" w:color="auto"/>
        <w:left w:val="none" w:sz="0" w:space="0" w:color="auto"/>
        <w:bottom w:val="none" w:sz="0" w:space="0" w:color="auto"/>
        <w:right w:val="none" w:sz="0" w:space="0" w:color="auto"/>
      </w:divBdr>
    </w:div>
    <w:div w:id="214506105">
      <w:bodyDiv w:val="1"/>
      <w:marLeft w:val="0"/>
      <w:marRight w:val="0"/>
      <w:marTop w:val="0"/>
      <w:marBottom w:val="0"/>
      <w:divBdr>
        <w:top w:val="none" w:sz="0" w:space="0" w:color="auto"/>
        <w:left w:val="none" w:sz="0" w:space="0" w:color="auto"/>
        <w:bottom w:val="none" w:sz="0" w:space="0" w:color="auto"/>
        <w:right w:val="none" w:sz="0" w:space="0" w:color="auto"/>
      </w:divBdr>
    </w:div>
    <w:div w:id="243493622">
      <w:bodyDiv w:val="1"/>
      <w:marLeft w:val="0"/>
      <w:marRight w:val="0"/>
      <w:marTop w:val="0"/>
      <w:marBottom w:val="0"/>
      <w:divBdr>
        <w:top w:val="none" w:sz="0" w:space="0" w:color="auto"/>
        <w:left w:val="none" w:sz="0" w:space="0" w:color="auto"/>
        <w:bottom w:val="none" w:sz="0" w:space="0" w:color="auto"/>
        <w:right w:val="none" w:sz="0" w:space="0" w:color="auto"/>
      </w:divBdr>
    </w:div>
    <w:div w:id="245505257">
      <w:bodyDiv w:val="1"/>
      <w:marLeft w:val="0"/>
      <w:marRight w:val="0"/>
      <w:marTop w:val="0"/>
      <w:marBottom w:val="0"/>
      <w:divBdr>
        <w:top w:val="none" w:sz="0" w:space="0" w:color="auto"/>
        <w:left w:val="none" w:sz="0" w:space="0" w:color="auto"/>
        <w:bottom w:val="none" w:sz="0" w:space="0" w:color="auto"/>
        <w:right w:val="none" w:sz="0" w:space="0" w:color="auto"/>
      </w:divBdr>
    </w:div>
    <w:div w:id="263224918">
      <w:bodyDiv w:val="1"/>
      <w:marLeft w:val="0"/>
      <w:marRight w:val="0"/>
      <w:marTop w:val="0"/>
      <w:marBottom w:val="0"/>
      <w:divBdr>
        <w:top w:val="none" w:sz="0" w:space="0" w:color="auto"/>
        <w:left w:val="none" w:sz="0" w:space="0" w:color="auto"/>
        <w:bottom w:val="none" w:sz="0" w:space="0" w:color="auto"/>
        <w:right w:val="none" w:sz="0" w:space="0" w:color="auto"/>
      </w:divBdr>
    </w:div>
    <w:div w:id="631062123">
      <w:bodyDiv w:val="1"/>
      <w:marLeft w:val="0"/>
      <w:marRight w:val="0"/>
      <w:marTop w:val="0"/>
      <w:marBottom w:val="0"/>
      <w:divBdr>
        <w:top w:val="none" w:sz="0" w:space="0" w:color="auto"/>
        <w:left w:val="none" w:sz="0" w:space="0" w:color="auto"/>
        <w:bottom w:val="none" w:sz="0" w:space="0" w:color="auto"/>
        <w:right w:val="none" w:sz="0" w:space="0" w:color="auto"/>
      </w:divBdr>
    </w:div>
    <w:div w:id="645672511">
      <w:bodyDiv w:val="1"/>
      <w:marLeft w:val="0"/>
      <w:marRight w:val="0"/>
      <w:marTop w:val="0"/>
      <w:marBottom w:val="0"/>
      <w:divBdr>
        <w:top w:val="none" w:sz="0" w:space="0" w:color="auto"/>
        <w:left w:val="none" w:sz="0" w:space="0" w:color="auto"/>
        <w:bottom w:val="none" w:sz="0" w:space="0" w:color="auto"/>
        <w:right w:val="none" w:sz="0" w:space="0" w:color="auto"/>
      </w:divBdr>
    </w:div>
    <w:div w:id="655574592">
      <w:bodyDiv w:val="1"/>
      <w:marLeft w:val="0"/>
      <w:marRight w:val="0"/>
      <w:marTop w:val="0"/>
      <w:marBottom w:val="0"/>
      <w:divBdr>
        <w:top w:val="none" w:sz="0" w:space="0" w:color="auto"/>
        <w:left w:val="none" w:sz="0" w:space="0" w:color="auto"/>
        <w:bottom w:val="none" w:sz="0" w:space="0" w:color="auto"/>
        <w:right w:val="none" w:sz="0" w:space="0" w:color="auto"/>
      </w:divBdr>
    </w:div>
    <w:div w:id="768042523">
      <w:bodyDiv w:val="1"/>
      <w:marLeft w:val="0"/>
      <w:marRight w:val="0"/>
      <w:marTop w:val="0"/>
      <w:marBottom w:val="0"/>
      <w:divBdr>
        <w:top w:val="none" w:sz="0" w:space="0" w:color="auto"/>
        <w:left w:val="none" w:sz="0" w:space="0" w:color="auto"/>
        <w:bottom w:val="none" w:sz="0" w:space="0" w:color="auto"/>
        <w:right w:val="none" w:sz="0" w:space="0" w:color="auto"/>
      </w:divBdr>
    </w:div>
    <w:div w:id="853375893">
      <w:bodyDiv w:val="1"/>
      <w:marLeft w:val="0"/>
      <w:marRight w:val="0"/>
      <w:marTop w:val="0"/>
      <w:marBottom w:val="0"/>
      <w:divBdr>
        <w:top w:val="none" w:sz="0" w:space="0" w:color="auto"/>
        <w:left w:val="none" w:sz="0" w:space="0" w:color="auto"/>
        <w:bottom w:val="none" w:sz="0" w:space="0" w:color="auto"/>
        <w:right w:val="none" w:sz="0" w:space="0" w:color="auto"/>
      </w:divBdr>
    </w:div>
    <w:div w:id="870727292">
      <w:bodyDiv w:val="1"/>
      <w:marLeft w:val="0"/>
      <w:marRight w:val="0"/>
      <w:marTop w:val="0"/>
      <w:marBottom w:val="0"/>
      <w:divBdr>
        <w:top w:val="none" w:sz="0" w:space="0" w:color="auto"/>
        <w:left w:val="none" w:sz="0" w:space="0" w:color="auto"/>
        <w:bottom w:val="none" w:sz="0" w:space="0" w:color="auto"/>
        <w:right w:val="none" w:sz="0" w:space="0" w:color="auto"/>
      </w:divBdr>
    </w:div>
    <w:div w:id="907812188">
      <w:bodyDiv w:val="1"/>
      <w:marLeft w:val="0"/>
      <w:marRight w:val="0"/>
      <w:marTop w:val="0"/>
      <w:marBottom w:val="0"/>
      <w:divBdr>
        <w:top w:val="none" w:sz="0" w:space="0" w:color="auto"/>
        <w:left w:val="none" w:sz="0" w:space="0" w:color="auto"/>
        <w:bottom w:val="none" w:sz="0" w:space="0" w:color="auto"/>
        <w:right w:val="none" w:sz="0" w:space="0" w:color="auto"/>
      </w:divBdr>
    </w:div>
    <w:div w:id="1005935400">
      <w:bodyDiv w:val="1"/>
      <w:marLeft w:val="0"/>
      <w:marRight w:val="0"/>
      <w:marTop w:val="0"/>
      <w:marBottom w:val="0"/>
      <w:divBdr>
        <w:top w:val="none" w:sz="0" w:space="0" w:color="auto"/>
        <w:left w:val="none" w:sz="0" w:space="0" w:color="auto"/>
        <w:bottom w:val="none" w:sz="0" w:space="0" w:color="auto"/>
        <w:right w:val="none" w:sz="0" w:space="0" w:color="auto"/>
      </w:divBdr>
    </w:div>
    <w:div w:id="1109547487">
      <w:bodyDiv w:val="1"/>
      <w:marLeft w:val="0"/>
      <w:marRight w:val="0"/>
      <w:marTop w:val="0"/>
      <w:marBottom w:val="0"/>
      <w:divBdr>
        <w:top w:val="none" w:sz="0" w:space="0" w:color="auto"/>
        <w:left w:val="none" w:sz="0" w:space="0" w:color="auto"/>
        <w:bottom w:val="none" w:sz="0" w:space="0" w:color="auto"/>
        <w:right w:val="none" w:sz="0" w:space="0" w:color="auto"/>
      </w:divBdr>
    </w:div>
    <w:div w:id="1111320803">
      <w:bodyDiv w:val="1"/>
      <w:marLeft w:val="0"/>
      <w:marRight w:val="0"/>
      <w:marTop w:val="0"/>
      <w:marBottom w:val="0"/>
      <w:divBdr>
        <w:top w:val="none" w:sz="0" w:space="0" w:color="auto"/>
        <w:left w:val="none" w:sz="0" w:space="0" w:color="auto"/>
        <w:bottom w:val="none" w:sz="0" w:space="0" w:color="auto"/>
        <w:right w:val="none" w:sz="0" w:space="0" w:color="auto"/>
      </w:divBdr>
    </w:div>
    <w:div w:id="1119449768">
      <w:bodyDiv w:val="1"/>
      <w:marLeft w:val="0"/>
      <w:marRight w:val="0"/>
      <w:marTop w:val="0"/>
      <w:marBottom w:val="0"/>
      <w:divBdr>
        <w:top w:val="none" w:sz="0" w:space="0" w:color="auto"/>
        <w:left w:val="none" w:sz="0" w:space="0" w:color="auto"/>
        <w:bottom w:val="none" w:sz="0" w:space="0" w:color="auto"/>
        <w:right w:val="none" w:sz="0" w:space="0" w:color="auto"/>
      </w:divBdr>
    </w:div>
    <w:div w:id="1160972486">
      <w:bodyDiv w:val="1"/>
      <w:marLeft w:val="0"/>
      <w:marRight w:val="0"/>
      <w:marTop w:val="0"/>
      <w:marBottom w:val="0"/>
      <w:divBdr>
        <w:top w:val="none" w:sz="0" w:space="0" w:color="auto"/>
        <w:left w:val="none" w:sz="0" w:space="0" w:color="auto"/>
        <w:bottom w:val="none" w:sz="0" w:space="0" w:color="auto"/>
        <w:right w:val="none" w:sz="0" w:space="0" w:color="auto"/>
      </w:divBdr>
    </w:div>
    <w:div w:id="1257245478">
      <w:bodyDiv w:val="1"/>
      <w:marLeft w:val="0"/>
      <w:marRight w:val="0"/>
      <w:marTop w:val="0"/>
      <w:marBottom w:val="0"/>
      <w:divBdr>
        <w:top w:val="none" w:sz="0" w:space="0" w:color="auto"/>
        <w:left w:val="none" w:sz="0" w:space="0" w:color="auto"/>
        <w:bottom w:val="none" w:sz="0" w:space="0" w:color="auto"/>
        <w:right w:val="none" w:sz="0" w:space="0" w:color="auto"/>
      </w:divBdr>
    </w:div>
    <w:div w:id="1325009391">
      <w:bodyDiv w:val="1"/>
      <w:marLeft w:val="0"/>
      <w:marRight w:val="0"/>
      <w:marTop w:val="0"/>
      <w:marBottom w:val="0"/>
      <w:divBdr>
        <w:top w:val="none" w:sz="0" w:space="0" w:color="auto"/>
        <w:left w:val="none" w:sz="0" w:space="0" w:color="auto"/>
        <w:bottom w:val="none" w:sz="0" w:space="0" w:color="auto"/>
        <w:right w:val="none" w:sz="0" w:space="0" w:color="auto"/>
      </w:divBdr>
    </w:div>
    <w:div w:id="1348016855">
      <w:bodyDiv w:val="1"/>
      <w:marLeft w:val="0"/>
      <w:marRight w:val="0"/>
      <w:marTop w:val="0"/>
      <w:marBottom w:val="0"/>
      <w:divBdr>
        <w:top w:val="none" w:sz="0" w:space="0" w:color="auto"/>
        <w:left w:val="none" w:sz="0" w:space="0" w:color="auto"/>
        <w:bottom w:val="none" w:sz="0" w:space="0" w:color="auto"/>
        <w:right w:val="none" w:sz="0" w:space="0" w:color="auto"/>
      </w:divBdr>
    </w:div>
    <w:div w:id="1368218319">
      <w:bodyDiv w:val="1"/>
      <w:marLeft w:val="0"/>
      <w:marRight w:val="0"/>
      <w:marTop w:val="0"/>
      <w:marBottom w:val="0"/>
      <w:divBdr>
        <w:top w:val="none" w:sz="0" w:space="0" w:color="auto"/>
        <w:left w:val="none" w:sz="0" w:space="0" w:color="auto"/>
        <w:bottom w:val="none" w:sz="0" w:space="0" w:color="auto"/>
        <w:right w:val="none" w:sz="0" w:space="0" w:color="auto"/>
      </w:divBdr>
    </w:div>
    <w:div w:id="1388408054">
      <w:bodyDiv w:val="1"/>
      <w:marLeft w:val="0"/>
      <w:marRight w:val="0"/>
      <w:marTop w:val="0"/>
      <w:marBottom w:val="0"/>
      <w:divBdr>
        <w:top w:val="none" w:sz="0" w:space="0" w:color="auto"/>
        <w:left w:val="none" w:sz="0" w:space="0" w:color="auto"/>
        <w:bottom w:val="none" w:sz="0" w:space="0" w:color="auto"/>
        <w:right w:val="none" w:sz="0" w:space="0" w:color="auto"/>
      </w:divBdr>
    </w:div>
    <w:div w:id="1422413048">
      <w:bodyDiv w:val="1"/>
      <w:marLeft w:val="0"/>
      <w:marRight w:val="0"/>
      <w:marTop w:val="0"/>
      <w:marBottom w:val="0"/>
      <w:divBdr>
        <w:top w:val="none" w:sz="0" w:space="0" w:color="auto"/>
        <w:left w:val="none" w:sz="0" w:space="0" w:color="auto"/>
        <w:bottom w:val="none" w:sz="0" w:space="0" w:color="auto"/>
        <w:right w:val="none" w:sz="0" w:space="0" w:color="auto"/>
      </w:divBdr>
    </w:div>
    <w:div w:id="1449739643">
      <w:bodyDiv w:val="1"/>
      <w:marLeft w:val="0"/>
      <w:marRight w:val="0"/>
      <w:marTop w:val="0"/>
      <w:marBottom w:val="0"/>
      <w:divBdr>
        <w:top w:val="none" w:sz="0" w:space="0" w:color="auto"/>
        <w:left w:val="none" w:sz="0" w:space="0" w:color="auto"/>
        <w:bottom w:val="none" w:sz="0" w:space="0" w:color="auto"/>
        <w:right w:val="none" w:sz="0" w:space="0" w:color="auto"/>
      </w:divBdr>
    </w:div>
    <w:div w:id="1490170794">
      <w:bodyDiv w:val="1"/>
      <w:marLeft w:val="0"/>
      <w:marRight w:val="0"/>
      <w:marTop w:val="0"/>
      <w:marBottom w:val="0"/>
      <w:divBdr>
        <w:top w:val="none" w:sz="0" w:space="0" w:color="auto"/>
        <w:left w:val="none" w:sz="0" w:space="0" w:color="auto"/>
        <w:bottom w:val="none" w:sz="0" w:space="0" w:color="auto"/>
        <w:right w:val="none" w:sz="0" w:space="0" w:color="auto"/>
      </w:divBdr>
    </w:div>
    <w:div w:id="1512524840">
      <w:bodyDiv w:val="1"/>
      <w:marLeft w:val="0"/>
      <w:marRight w:val="0"/>
      <w:marTop w:val="0"/>
      <w:marBottom w:val="0"/>
      <w:divBdr>
        <w:top w:val="none" w:sz="0" w:space="0" w:color="auto"/>
        <w:left w:val="none" w:sz="0" w:space="0" w:color="auto"/>
        <w:bottom w:val="none" w:sz="0" w:space="0" w:color="auto"/>
        <w:right w:val="none" w:sz="0" w:space="0" w:color="auto"/>
      </w:divBdr>
    </w:div>
    <w:div w:id="1524972880">
      <w:bodyDiv w:val="1"/>
      <w:marLeft w:val="0"/>
      <w:marRight w:val="0"/>
      <w:marTop w:val="0"/>
      <w:marBottom w:val="0"/>
      <w:divBdr>
        <w:top w:val="none" w:sz="0" w:space="0" w:color="auto"/>
        <w:left w:val="none" w:sz="0" w:space="0" w:color="auto"/>
        <w:bottom w:val="none" w:sz="0" w:space="0" w:color="auto"/>
        <w:right w:val="none" w:sz="0" w:space="0" w:color="auto"/>
      </w:divBdr>
    </w:div>
    <w:div w:id="1531450414">
      <w:bodyDiv w:val="1"/>
      <w:marLeft w:val="0"/>
      <w:marRight w:val="0"/>
      <w:marTop w:val="0"/>
      <w:marBottom w:val="0"/>
      <w:divBdr>
        <w:top w:val="none" w:sz="0" w:space="0" w:color="auto"/>
        <w:left w:val="none" w:sz="0" w:space="0" w:color="auto"/>
        <w:bottom w:val="none" w:sz="0" w:space="0" w:color="auto"/>
        <w:right w:val="none" w:sz="0" w:space="0" w:color="auto"/>
      </w:divBdr>
    </w:div>
    <w:div w:id="1576017047">
      <w:bodyDiv w:val="1"/>
      <w:marLeft w:val="0"/>
      <w:marRight w:val="0"/>
      <w:marTop w:val="0"/>
      <w:marBottom w:val="0"/>
      <w:divBdr>
        <w:top w:val="none" w:sz="0" w:space="0" w:color="auto"/>
        <w:left w:val="none" w:sz="0" w:space="0" w:color="auto"/>
        <w:bottom w:val="none" w:sz="0" w:space="0" w:color="auto"/>
        <w:right w:val="none" w:sz="0" w:space="0" w:color="auto"/>
      </w:divBdr>
    </w:div>
    <w:div w:id="1605650290">
      <w:bodyDiv w:val="1"/>
      <w:marLeft w:val="0"/>
      <w:marRight w:val="0"/>
      <w:marTop w:val="0"/>
      <w:marBottom w:val="0"/>
      <w:divBdr>
        <w:top w:val="none" w:sz="0" w:space="0" w:color="auto"/>
        <w:left w:val="none" w:sz="0" w:space="0" w:color="auto"/>
        <w:bottom w:val="none" w:sz="0" w:space="0" w:color="auto"/>
        <w:right w:val="none" w:sz="0" w:space="0" w:color="auto"/>
      </w:divBdr>
    </w:div>
    <w:div w:id="1669598222">
      <w:bodyDiv w:val="1"/>
      <w:marLeft w:val="0"/>
      <w:marRight w:val="0"/>
      <w:marTop w:val="0"/>
      <w:marBottom w:val="0"/>
      <w:divBdr>
        <w:top w:val="none" w:sz="0" w:space="0" w:color="auto"/>
        <w:left w:val="none" w:sz="0" w:space="0" w:color="auto"/>
        <w:bottom w:val="none" w:sz="0" w:space="0" w:color="auto"/>
        <w:right w:val="none" w:sz="0" w:space="0" w:color="auto"/>
      </w:divBdr>
    </w:div>
    <w:div w:id="1716267871">
      <w:bodyDiv w:val="1"/>
      <w:marLeft w:val="0"/>
      <w:marRight w:val="0"/>
      <w:marTop w:val="0"/>
      <w:marBottom w:val="0"/>
      <w:divBdr>
        <w:top w:val="none" w:sz="0" w:space="0" w:color="auto"/>
        <w:left w:val="none" w:sz="0" w:space="0" w:color="auto"/>
        <w:bottom w:val="none" w:sz="0" w:space="0" w:color="auto"/>
        <w:right w:val="none" w:sz="0" w:space="0" w:color="auto"/>
      </w:divBdr>
    </w:div>
    <w:div w:id="1797601116">
      <w:bodyDiv w:val="1"/>
      <w:marLeft w:val="0"/>
      <w:marRight w:val="0"/>
      <w:marTop w:val="0"/>
      <w:marBottom w:val="0"/>
      <w:divBdr>
        <w:top w:val="none" w:sz="0" w:space="0" w:color="auto"/>
        <w:left w:val="none" w:sz="0" w:space="0" w:color="auto"/>
        <w:bottom w:val="none" w:sz="0" w:space="0" w:color="auto"/>
        <w:right w:val="none" w:sz="0" w:space="0" w:color="auto"/>
      </w:divBdr>
    </w:div>
    <w:div w:id="1801536034">
      <w:bodyDiv w:val="1"/>
      <w:marLeft w:val="0"/>
      <w:marRight w:val="0"/>
      <w:marTop w:val="0"/>
      <w:marBottom w:val="0"/>
      <w:divBdr>
        <w:top w:val="none" w:sz="0" w:space="0" w:color="auto"/>
        <w:left w:val="none" w:sz="0" w:space="0" w:color="auto"/>
        <w:bottom w:val="none" w:sz="0" w:space="0" w:color="auto"/>
        <w:right w:val="none" w:sz="0" w:space="0" w:color="auto"/>
      </w:divBdr>
    </w:div>
    <w:div w:id="1836651577">
      <w:bodyDiv w:val="1"/>
      <w:marLeft w:val="0"/>
      <w:marRight w:val="0"/>
      <w:marTop w:val="0"/>
      <w:marBottom w:val="0"/>
      <w:divBdr>
        <w:top w:val="none" w:sz="0" w:space="0" w:color="auto"/>
        <w:left w:val="none" w:sz="0" w:space="0" w:color="auto"/>
        <w:bottom w:val="none" w:sz="0" w:space="0" w:color="auto"/>
        <w:right w:val="none" w:sz="0" w:space="0" w:color="auto"/>
      </w:divBdr>
    </w:div>
    <w:div w:id="1855654382">
      <w:bodyDiv w:val="1"/>
      <w:marLeft w:val="0"/>
      <w:marRight w:val="0"/>
      <w:marTop w:val="0"/>
      <w:marBottom w:val="0"/>
      <w:divBdr>
        <w:top w:val="none" w:sz="0" w:space="0" w:color="auto"/>
        <w:left w:val="none" w:sz="0" w:space="0" w:color="auto"/>
        <w:bottom w:val="none" w:sz="0" w:space="0" w:color="auto"/>
        <w:right w:val="none" w:sz="0" w:space="0" w:color="auto"/>
      </w:divBdr>
    </w:div>
    <w:div w:id="1893881141">
      <w:bodyDiv w:val="1"/>
      <w:marLeft w:val="0"/>
      <w:marRight w:val="0"/>
      <w:marTop w:val="0"/>
      <w:marBottom w:val="0"/>
      <w:divBdr>
        <w:top w:val="none" w:sz="0" w:space="0" w:color="auto"/>
        <w:left w:val="none" w:sz="0" w:space="0" w:color="auto"/>
        <w:bottom w:val="none" w:sz="0" w:space="0" w:color="auto"/>
        <w:right w:val="none" w:sz="0" w:space="0" w:color="auto"/>
      </w:divBdr>
    </w:div>
    <w:div w:id="1925603546">
      <w:bodyDiv w:val="1"/>
      <w:marLeft w:val="0"/>
      <w:marRight w:val="0"/>
      <w:marTop w:val="0"/>
      <w:marBottom w:val="0"/>
      <w:divBdr>
        <w:top w:val="none" w:sz="0" w:space="0" w:color="auto"/>
        <w:left w:val="none" w:sz="0" w:space="0" w:color="auto"/>
        <w:bottom w:val="none" w:sz="0" w:space="0" w:color="auto"/>
        <w:right w:val="none" w:sz="0" w:space="0" w:color="auto"/>
      </w:divBdr>
    </w:div>
    <w:div w:id="1998027204">
      <w:bodyDiv w:val="1"/>
      <w:marLeft w:val="0"/>
      <w:marRight w:val="0"/>
      <w:marTop w:val="0"/>
      <w:marBottom w:val="0"/>
      <w:divBdr>
        <w:top w:val="none" w:sz="0" w:space="0" w:color="auto"/>
        <w:left w:val="none" w:sz="0" w:space="0" w:color="auto"/>
        <w:bottom w:val="none" w:sz="0" w:space="0" w:color="auto"/>
        <w:right w:val="none" w:sz="0" w:space="0" w:color="auto"/>
      </w:divBdr>
    </w:div>
    <w:div w:id="2040276116">
      <w:bodyDiv w:val="1"/>
      <w:marLeft w:val="0"/>
      <w:marRight w:val="0"/>
      <w:marTop w:val="0"/>
      <w:marBottom w:val="0"/>
      <w:divBdr>
        <w:top w:val="none" w:sz="0" w:space="0" w:color="auto"/>
        <w:left w:val="none" w:sz="0" w:space="0" w:color="auto"/>
        <w:bottom w:val="none" w:sz="0" w:space="0" w:color="auto"/>
        <w:right w:val="none" w:sz="0" w:space="0" w:color="auto"/>
      </w:divBdr>
    </w:div>
    <w:div w:id="2062287524">
      <w:bodyDiv w:val="1"/>
      <w:marLeft w:val="0"/>
      <w:marRight w:val="0"/>
      <w:marTop w:val="0"/>
      <w:marBottom w:val="0"/>
      <w:divBdr>
        <w:top w:val="none" w:sz="0" w:space="0" w:color="auto"/>
        <w:left w:val="none" w:sz="0" w:space="0" w:color="auto"/>
        <w:bottom w:val="none" w:sz="0" w:space="0" w:color="auto"/>
        <w:right w:val="none" w:sz="0" w:space="0" w:color="auto"/>
      </w:divBdr>
    </w:div>
    <w:div w:id="2080250337">
      <w:bodyDiv w:val="1"/>
      <w:marLeft w:val="0"/>
      <w:marRight w:val="0"/>
      <w:marTop w:val="0"/>
      <w:marBottom w:val="0"/>
      <w:divBdr>
        <w:top w:val="none" w:sz="0" w:space="0" w:color="auto"/>
        <w:left w:val="none" w:sz="0" w:space="0" w:color="auto"/>
        <w:bottom w:val="none" w:sz="0" w:space="0" w:color="auto"/>
        <w:right w:val="none" w:sz="0" w:space="0" w:color="auto"/>
      </w:divBdr>
    </w:div>
    <w:div w:id="2093696023">
      <w:bodyDiv w:val="1"/>
      <w:marLeft w:val="0"/>
      <w:marRight w:val="0"/>
      <w:marTop w:val="0"/>
      <w:marBottom w:val="0"/>
      <w:divBdr>
        <w:top w:val="none" w:sz="0" w:space="0" w:color="auto"/>
        <w:left w:val="none" w:sz="0" w:space="0" w:color="auto"/>
        <w:bottom w:val="none" w:sz="0" w:space="0" w:color="auto"/>
        <w:right w:val="none" w:sz="0" w:space="0" w:color="auto"/>
      </w:divBdr>
    </w:div>
    <w:div w:id="21204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1475-6803.00025/full"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hyperlink" Target="http://onlinelibrary.wiley.com/doi/10.1111/1475-6803.00025/full" TargetMode="External"/><Relationship Id="rId12" Type="http://schemas.openxmlformats.org/officeDocument/2006/relationships/hyperlink" Target="http://www.kse.com"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corder.com"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hyperlink" Target="http://www.ks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yperlink" Target="http://www.berecorder.com" TargetMode="External"/><Relationship Id="rId10" Type="http://schemas.openxmlformats.org/officeDocument/2006/relationships/hyperlink" Target="http://onlinelibrary.wiley.com/doi/10.1111/1475-6803.00025/full" TargetMode="Externa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hyperlink" Target="http://onlinelibrary.wiley.com/doi/10.1111/1475-6803.00025/full"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8033</Words>
  <Characters>45791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 Study about Consistency and Momentum of Common Stocks’ Performance in Pakistan </vt:lpstr>
    </vt:vector>
  </TitlesOfParts>
  <Company/>
  <LinksUpToDate>false</LinksUpToDate>
  <CharactersWithSpaces>53717</CharactersWithSpaces>
  <SharedDoc>false</SharedDoc>
  <HLinks>
    <vt:vector size="48" baseType="variant">
      <vt:variant>
        <vt:i4>2818146</vt:i4>
      </vt:variant>
      <vt:variant>
        <vt:i4>27</vt:i4>
      </vt:variant>
      <vt:variant>
        <vt:i4>0</vt:i4>
      </vt:variant>
      <vt:variant>
        <vt:i4>5</vt:i4>
      </vt:variant>
      <vt:variant>
        <vt:lpwstr>http://www.kse.com/</vt:lpwstr>
      </vt:variant>
      <vt:variant>
        <vt:lpwstr/>
      </vt:variant>
      <vt:variant>
        <vt:i4>2162727</vt:i4>
      </vt:variant>
      <vt:variant>
        <vt:i4>24</vt:i4>
      </vt:variant>
      <vt:variant>
        <vt:i4>0</vt:i4>
      </vt:variant>
      <vt:variant>
        <vt:i4>5</vt:i4>
      </vt:variant>
      <vt:variant>
        <vt:lpwstr>http://www.berecorder.com/</vt:lpwstr>
      </vt:variant>
      <vt:variant>
        <vt:lpwstr/>
      </vt:variant>
      <vt:variant>
        <vt:i4>2818146</vt:i4>
      </vt:variant>
      <vt:variant>
        <vt:i4>21</vt:i4>
      </vt:variant>
      <vt:variant>
        <vt:i4>0</vt:i4>
      </vt:variant>
      <vt:variant>
        <vt:i4>5</vt:i4>
      </vt:variant>
      <vt:variant>
        <vt:lpwstr>http://www.kse.com/</vt:lpwstr>
      </vt:variant>
      <vt:variant>
        <vt:lpwstr/>
      </vt:variant>
      <vt:variant>
        <vt:i4>5963799</vt:i4>
      </vt:variant>
      <vt:variant>
        <vt:i4>18</vt:i4>
      </vt:variant>
      <vt:variant>
        <vt:i4>0</vt:i4>
      </vt:variant>
      <vt:variant>
        <vt:i4>5</vt:i4>
      </vt:variant>
      <vt:variant>
        <vt:lpwstr>http://www.brecorder.com/</vt:lpwstr>
      </vt:variant>
      <vt:variant>
        <vt:lpwstr/>
      </vt:variant>
      <vt:variant>
        <vt:i4>2</vt:i4>
      </vt:variant>
      <vt:variant>
        <vt:i4>9</vt:i4>
      </vt:variant>
      <vt:variant>
        <vt:i4>0</vt:i4>
      </vt:variant>
      <vt:variant>
        <vt:i4>5</vt:i4>
      </vt:variant>
      <vt:variant>
        <vt:lpwstr>http://onlinelibrary.wiley.com/doi/10.1111/1475-6803.00025/full</vt:lpwstr>
      </vt:variant>
      <vt:variant>
        <vt:lpwstr>b13</vt:lpwstr>
      </vt:variant>
      <vt:variant>
        <vt:i4>458754</vt:i4>
      </vt:variant>
      <vt:variant>
        <vt:i4>6</vt:i4>
      </vt:variant>
      <vt:variant>
        <vt:i4>0</vt:i4>
      </vt:variant>
      <vt:variant>
        <vt:i4>5</vt:i4>
      </vt:variant>
      <vt:variant>
        <vt:lpwstr>http://onlinelibrary.wiley.com/doi/10.1111/1475-6803.00025/full</vt:lpwstr>
      </vt:variant>
      <vt:variant>
        <vt:lpwstr>b6</vt:lpwstr>
      </vt:variant>
      <vt:variant>
        <vt:i4>2</vt:i4>
      </vt:variant>
      <vt:variant>
        <vt:i4>3</vt:i4>
      </vt:variant>
      <vt:variant>
        <vt:i4>0</vt:i4>
      </vt:variant>
      <vt:variant>
        <vt:i4>5</vt:i4>
      </vt:variant>
      <vt:variant>
        <vt:lpwstr>http://onlinelibrary.wiley.com/doi/10.1111/1475-6803.00025/full</vt:lpwstr>
      </vt:variant>
      <vt:variant>
        <vt:lpwstr>b1</vt:lpwstr>
      </vt:variant>
      <vt:variant>
        <vt:i4>262146</vt:i4>
      </vt:variant>
      <vt:variant>
        <vt:i4>0</vt:i4>
      </vt:variant>
      <vt:variant>
        <vt:i4>0</vt:i4>
      </vt:variant>
      <vt:variant>
        <vt:i4>5</vt:i4>
      </vt:variant>
      <vt:variant>
        <vt:lpwstr>http://onlinelibrary.wiley.com/doi/10.1111/1475-6803.00025/full</vt:lpwstr>
      </vt:variant>
      <vt:variant>
        <vt:lpwstr>b5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about Consistency and Momentum of Common Stocks’ Performance in Pakistan</dc:title>
  <dc:subject/>
  <dc:creator>Salman Sadiq</dc:creator>
  <cp:keywords/>
  <dc:description/>
  <cp:lastModifiedBy>Reviewer</cp:lastModifiedBy>
  <cp:revision>2</cp:revision>
  <cp:lastPrinted>2011-04-16T18:05:00Z</cp:lastPrinted>
  <dcterms:created xsi:type="dcterms:W3CDTF">2016-05-31T09:39:00Z</dcterms:created>
  <dcterms:modified xsi:type="dcterms:W3CDTF">2016-05-31T09:39:00Z</dcterms:modified>
</cp:coreProperties>
</file>